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1537" w14:textId="18647ABE" w:rsidR="00107F55" w:rsidRPr="003342C9" w:rsidRDefault="00031CF0" w:rsidP="59D9D59F">
      <w:pPr>
        <w:pStyle w:val="Heading4"/>
        <w:rPr>
          <w:rFonts w:ascii="Verdana" w:hAnsi="Verdana"/>
          <w:color w:val="000000" w:themeColor="text1"/>
          <w:sz w:val="22"/>
          <w:szCs w:val="22"/>
        </w:rPr>
      </w:pPr>
      <w:r w:rsidRPr="003342C9">
        <w:rPr>
          <w:noProof/>
          <w:lang w:eastAsia="en-GB"/>
        </w:rPr>
        <w:drawing>
          <wp:inline distT="0" distB="0" distL="0" distR="0" wp14:anchorId="18C841CA" wp14:editId="6B1E9994">
            <wp:extent cx="1171575" cy="742950"/>
            <wp:effectExtent l="0" t="0" r="9525" b="0"/>
            <wp:docPr id="1" name="Picture 1" descr="We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Su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0AB5A" w14:textId="18FD2331" w:rsidR="00C01666" w:rsidRDefault="00C01666" w:rsidP="59D9D59F">
      <w:pPr>
        <w:pStyle w:val="Heading4"/>
        <w:rPr>
          <w:rFonts w:ascii="Verdana" w:hAnsi="Verdana"/>
          <w:color w:val="000000" w:themeColor="text1"/>
          <w:sz w:val="22"/>
          <w:szCs w:val="22"/>
        </w:rPr>
      </w:pPr>
    </w:p>
    <w:p w14:paraId="43376EB2" w14:textId="77777777" w:rsidR="00C32E7B" w:rsidRPr="00C32E7B" w:rsidRDefault="00C32E7B" w:rsidP="59D9D59F"/>
    <w:p w14:paraId="210F7112" w14:textId="77777777" w:rsidR="00A70A33" w:rsidRPr="00C32E7B" w:rsidRDefault="00A70A33" w:rsidP="59D9D59F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Verdana" w:eastAsiaTheme="majorEastAsia" w:hAnsi="Verdana" w:cstheme="majorBidi"/>
          <w:b/>
          <w:bCs/>
          <w:spacing w:val="5"/>
          <w:kern w:val="28"/>
          <w:sz w:val="32"/>
          <w:szCs w:val="32"/>
        </w:rPr>
      </w:pPr>
      <w:r w:rsidRPr="00C32E7B">
        <w:rPr>
          <w:rFonts w:ascii="Verdana" w:eastAsiaTheme="majorEastAsia" w:hAnsi="Verdana" w:cstheme="majorBidi"/>
          <w:b/>
          <w:bCs/>
          <w:spacing w:val="5"/>
          <w:kern w:val="28"/>
          <w:sz w:val="32"/>
          <w:szCs w:val="32"/>
        </w:rPr>
        <w:t>Directorate of Education and Skills</w:t>
      </w:r>
    </w:p>
    <w:p w14:paraId="74BC969A" w14:textId="77777777" w:rsidR="006F0483" w:rsidRPr="00C32E7B" w:rsidRDefault="006F0483" w:rsidP="59D9D59F">
      <w:pPr>
        <w:tabs>
          <w:tab w:val="center" w:pos="4513"/>
          <w:tab w:val="right" w:pos="9026"/>
        </w:tabs>
        <w:jc w:val="center"/>
      </w:pPr>
    </w:p>
    <w:p w14:paraId="0E038381" w14:textId="77777777" w:rsidR="0033569E" w:rsidRDefault="0033569E" w:rsidP="59D9D59F">
      <w:pPr>
        <w:spacing w:after="120"/>
        <w:jc w:val="center"/>
        <w:rPr>
          <w:rFonts w:ascii="Verdana" w:hAnsi="Verdana"/>
          <w:b/>
        </w:rPr>
      </w:pPr>
    </w:p>
    <w:p w14:paraId="62C4C9C9" w14:textId="0C9A8445" w:rsidR="008E31C6" w:rsidRDefault="001A7D8B" w:rsidP="59D9D5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SEND </w:t>
      </w:r>
      <w:r w:rsidR="007A11F3">
        <w:rPr>
          <w:rFonts w:ascii="Verdana" w:hAnsi="Verdana"/>
          <w:b/>
        </w:rPr>
        <w:t>and Alternative Provision</w:t>
      </w:r>
      <w:r w:rsidR="007A11F3">
        <w:rPr>
          <w:rFonts w:ascii="Verdana" w:hAnsi="Verdana"/>
          <w:b/>
        </w:rPr>
        <w:br/>
        <w:t>Strategy &amp; Partnership</w:t>
      </w:r>
      <w:r w:rsidR="00F12CEC">
        <w:rPr>
          <w:rFonts w:ascii="Verdana" w:hAnsi="Verdana"/>
          <w:b/>
        </w:rPr>
        <w:t xml:space="preserve"> Board</w:t>
      </w:r>
    </w:p>
    <w:p w14:paraId="116C4468" w14:textId="3CC838FD" w:rsidR="008B752D" w:rsidRDefault="00D90A70" w:rsidP="59D9D59F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 March</w:t>
      </w:r>
      <w:r w:rsidR="00225281">
        <w:rPr>
          <w:rFonts w:ascii="Verdana" w:hAnsi="Verdana"/>
          <w:szCs w:val="24"/>
        </w:rPr>
        <w:t xml:space="preserve"> 2024</w:t>
      </w:r>
      <w:r w:rsidR="008B752D">
        <w:rPr>
          <w:rFonts w:ascii="Verdana" w:hAnsi="Verdana"/>
          <w:szCs w:val="24"/>
        </w:rPr>
        <w:t xml:space="preserve">, </w:t>
      </w:r>
      <w:r w:rsidR="00361703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1</w:t>
      </w:r>
      <w:r w:rsidR="00361703">
        <w:rPr>
          <w:rFonts w:ascii="Verdana" w:hAnsi="Verdana"/>
          <w:szCs w:val="24"/>
        </w:rPr>
        <w:t>.00</w:t>
      </w:r>
      <w:r w:rsidR="008B752D">
        <w:rPr>
          <w:rFonts w:ascii="Verdana" w:hAnsi="Verdana"/>
          <w:szCs w:val="24"/>
        </w:rPr>
        <w:t xml:space="preserve"> – </w:t>
      </w:r>
      <w:r w:rsidR="00361703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3</w:t>
      </w:r>
      <w:r w:rsidR="008B752D">
        <w:rPr>
          <w:rFonts w:ascii="Verdana" w:hAnsi="Verdana"/>
          <w:szCs w:val="24"/>
        </w:rPr>
        <w:t>.</w:t>
      </w:r>
      <w:r w:rsidR="00361703">
        <w:rPr>
          <w:rFonts w:ascii="Verdana" w:hAnsi="Verdana"/>
          <w:szCs w:val="24"/>
        </w:rPr>
        <w:t>0</w:t>
      </w:r>
      <w:r w:rsidR="008B752D">
        <w:rPr>
          <w:rFonts w:ascii="Verdana" w:hAnsi="Verdana"/>
          <w:szCs w:val="24"/>
        </w:rPr>
        <w:t>0</w:t>
      </w:r>
    </w:p>
    <w:p w14:paraId="1410C791" w14:textId="4C84B7DF" w:rsidR="008E31C6" w:rsidRDefault="00D90A70" w:rsidP="59D9D59F">
      <w:pPr>
        <w:jc w:val="center"/>
      </w:pPr>
      <w:proofErr w:type="spellStart"/>
      <w:r>
        <w:t>Bodiam</w:t>
      </w:r>
      <w:proofErr w:type="spellEnd"/>
      <w:r>
        <w:t xml:space="preserve"> Room</w:t>
      </w:r>
      <w:r w:rsidR="006F6C41">
        <w:t>, County Hall</w:t>
      </w:r>
      <w:r>
        <w:t xml:space="preserve"> North</w:t>
      </w:r>
      <w:r w:rsidR="006F6C41">
        <w:t xml:space="preserve">, </w:t>
      </w:r>
      <w:r>
        <w:t>Horsham</w:t>
      </w:r>
    </w:p>
    <w:p w14:paraId="7DB36ECA" w14:textId="77777777" w:rsidR="009A5244" w:rsidRDefault="009A5244" w:rsidP="59D9D59F">
      <w:pPr>
        <w:jc w:val="center"/>
        <w:rPr>
          <w:rFonts w:ascii="Verdana" w:hAnsi="Verdana"/>
          <w:b/>
          <w:sz w:val="28"/>
          <w:szCs w:val="28"/>
        </w:rPr>
      </w:pPr>
    </w:p>
    <w:p w14:paraId="6DD12836" w14:textId="1D7069BC" w:rsidR="00D077A3" w:rsidRDefault="00E90CCA" w:rsidP="59D9D5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NOTES</w:t>
      </w:r>
    </w:p>
    <w:p w14:paraId="7CA94CDD" w14:textId="55A3FA87" w:rsidR="00F96656" w:rsidRPr="0035174E" w:rsidRDefault="0074223D" w:rsidP="59D9D5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102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4"/>
        <w:gridCol w:w="3825"/>
        <w:gridCol w:w="1278"/>
      </w:tblGrid>
      <w:tr w:rsidR="006C2D9B" w:rsidRPr="00E90CCA" w14:paraId="2E35AE25" w14:textId="5E5F073D" w:rsidTr="59D9D59F">
        <w:trPr>
          <w:trHeight w:val="144"/>
        </w:trPr>
        <w:tc>
          <w:tcPr>
            <w:tcW w:w="5105" w:type="dxa"/>
            <w:gridSpan w:val="2"/>
            <w:vAlign w:val="center"/>
          </w:tcPr>
          <w:p w14:paraId="3BD6EED3" w14:textId="77777777" w:rsidR="006C2D9B" w:rsidRPr="003B3592" w:rsidRDefault="006C2D9B" w:rsidP="59D9D59F">
            <w:pPr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Attended</w:t>
            </w:r>
          </w:p>
          <w:p w14:paraId="31832188" w14:textId="77777777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49DC6836" w14:textId="1444E147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Brian Pope, Independent Chair</w:t>
            </w:r>
          </w:p>
          <w:p w14:paraId="77253BD3" w14:textId="77777777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7D056BA1" w14:textId="77777777" w:rsidR="006C2D9B" w:rsidRPr="003B3592" w:rsidRDefault="006C2D9B" w:rsidP="59D9D59F">
            <w:pPr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WSCC</w:t>
            </w:r>
          </w:p>
          <w:p w14:paraId="3C90CA19" w14:textId="77777777" w:rsidR="006F6C41" w:rsidRPr="003B3592" w:rsidRDefault="006F6C41" w:rsidP="006F6C41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Lucy Butler, Director of Children’s Services</w:t>
            </w:r>
          </w:p>
          <w:p w14:paraId="177495FB" w14:textId="51B7B1E0" w:rsidR="006C2D9B" w:rsidRPr="003B3592" w:rsidRDefault="00726E7C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Ste</w:t>
            </w:r>
            <w:r w:rsidR="00AD5B95" w:rsidRPr="003B3592">
              <w:rPr>
                <w:rFonts w:ascii="Verdana" w:hAnsi="Verdana"/>
                <w:bCs/>
                <w:color w:val="000000" w:themeColor="text1"/>
                <w:sz w:val="20"/>
              </w:rPr>
              <w:t>v</w:t>
            </w: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e Nyakatawa, AD Education &amp; Skills</w:t>
            </w:r>
          </w:p>
          <w:p w14:paraId="44C8A73B" w14:textId="5C7B934F" w:rsidR="001B0FD6" w:rsidRDefault="001B0FD6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Claire Prince, Head of SEND &amp; Inclusion</w:t>
            </w:r>
          </w:p>
          <w:p w14:paraId="4B19AD39" w14:textId="38A7BED0" w:rsidR="006C2D9B" w:rsidRPr="003B3592" w:rsidRDefault="00D90A70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 xml:space="preserve">Louise Warren, Senior Improvement Lead </w:t>
            </w:r>
          </w:p>
          <w:p w14:paraId="26DCC5FD" w14:textId="7CEF7D6C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Vince Clarke, Children First Transformation Director</w:t>
            </w:r>
          </w:p>
          <w:p w14:paraId="68257B8C" w14:textId="7F0EC778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Kathryn Kellagher, SEND Development Officer</w:t>
            </w:r>
          </w:p>
          <w:p w14:paraId="32F494B4" w14:textId="7F222C5A" w:rsidR="0043242F" w:rsidRPr="003B3592" w:rsidRDefault="001B0FD6" w:rsidP="0043242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Karen Furse</w:t>
            </w:r>
            <w:r w:rsidR="0043242F" w:rsidRPr="003B3592">
              <w:rPr>
                <w:rFonts w:ascii="Verdana" w:hAnsi="Verdana"/>
                <w:bCs/>
                <w:color w:val="000000" w:themeColor="text1"/>
                <w:sz w:val="20"/>
              </w:rPr>
              <w:t>, Head of Standards &amp; Effectiveness</w:t>
            </w:r>
          </w:p>
          <w:p w14:paraId="7FBFFC38" w14:textId="678FCA95" w:rsidR="001B0FD6" w:rsidRDefault="00D72B3E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Improvement and Inspection</w:t>
            </w:r>
          </w:p>
          <w:p w14:paraId="452FEB9A" w14:textId="77777777" w:rsid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Louise Fox, Head of Service Assessment and Family Safeguarding</w:t>
            </w:r>
          </w:p>
          <w:p w14:paraId="5A6E5A92" w14:textId="77777777" w:rsid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Wanda Parker, Service Manager (rep for Louise Fox)</w:t>
            </w:r>
          </w:p>
          <w:p w14:paraId="569574E5" w14:textId="77777777" w:rsidR="00D90A70" w:rsidRPr="003B3592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Grace Fairbourn, Early Years SEND Lead</w:t>
            </w:r>
          </w:p>
          <w:p w14:paraId="1577E28E" w14:textId="2652F472" w:rsidR="001B0FD6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Sarah Clark, Head of Virtual School</w:t>
            </w:r>
            <w:r>
              <w:rPr>
                <w:rFonts w:ascii="Verdana" w:hAnsi="Verdana"/>
                <w:bCs/>
                <w:color w:val="000000" w:themeColor="text1"/>
                <w:sz w:val="20"/>
              </w:rPr>
              <w:t xml:space="preserve"> </w:t>
            </w:r>
          </w:p>
          <w:p w14:paraId="71EFB841" w14:textId="1717ABF2" w:rsidR="001B0FD6" w:rsidRDefault="001B0FD6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Marie Foley</w:t>
            </w:r>
            <w:r w:rsidR="00D72B3E">
              <w:rPr>
                <w:rFonts w:ascii="Verdana" w:hAnsi="Verdana"/>
                <w:bCs/>
                <w:color w:val="000000" w:themeColor="text1"/>
                <w:sz w:val="20"/>
              </w:rPr>
              <w:t>, Head of Data, Projects and Systems</w:t>
            </w:r>
          </w:p>
          <w:p w14:paraId="7ADA6E04" w14:textId="4AC1D092" w:rsidR="00D90A70" w:rsidRDefault="00D90A70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Amy Leftwich, Public Health</w:t>
            </w:r>
          </w:p>
          <w:p w14:paraId="61CF7D51" w14:textId="6ED1378B" w:rsidR="00D90A70" w:rsidRDefault="00D90A70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Kathy Lockyear, Lead for PWG 1</w:t>
            </w:r>
          </w:p>
          <w:p w14:paraId="549C0F92" w14:textId="020E3AD8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76F42C09" w14:textId="45675E62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Education and schools</w:t>
            </w:r>
          </w:p>
          <w:p w14:paraId="299CB2F7" w14:textId="3B4A7B28" w:rsidR="006C2D9B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Mark Wignall, Head, Downlands Secondary</w:t>
            </w:r>
          </w:p>
          <w:p w14:paraId="6AE64CF2" w14:textId="77777777" w:rsidR="006F6C41" w:rsidRDefault="006F6C41" w:rsidP="006F6C41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Claire Kenyon, Busy Lizzies, Early Years</w:t>
            </w:r>
          </w:p>
          <w:p w14:paraId="2022CD76" w14:textId="77777777" w:rsidR="006F6C41" w:rsidRPr="003B3592" w:rsidRDefault="006F6C41" w:rsidP="006F6C41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Doug Thomas, Head APC</w:t>
            </w:r>
          </w:p>
          <w:p w14:paraId="31A2B4ED" w14:textId="6960819F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Simon Brown, Head of SEND, Chichester College</w:t>
            </w:r>
          </w:p>
          <w:p w14:paraId="0B6B8CF9" w14:textId="1C06ADFD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Gillian Santi, Governors Association</w:t>
            </w:r>
          </w:p>
          <w:p w14:paraId="474D89DE" w14:textId="04AEE404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31FADCC8" w14:textId="20A93543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Health</w:t>
            </w:r>
            <w:r w:rsidR="00D90A70">
              <w:rPr>
                <w:rFonts w:ascii="Verdana" w:hAnsi="Verdana"/>
                <w:b/>
                <w:color w:val="000000" w:themeColor="text1"/>
                <w:sz w:val="20"/>
              </w:rPr>
              <w:t xml:space="preserve"> and Commissioning</w:t>
            </w:r>
          </w:p>
          <w:p w14:paraId="30BB8C35" w14:textId="77777777" w:rsid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Caroline Tozzi, Integrated Care System Health Lead</w:t>
            </w:r>
          </w:p>
          <w:p w14:paraId="25FEA213" w14:textId="77777777" w:rsidR="00D90A70" w:rsidRPr="003B3592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 xml:space="preserve">Kate Courtney, Designated Clinical Officer, maternity </w:t>
            </w:r>
            <w:proofErr w:type="gramStart"/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cover</w:t>
            </w:r>
            <w:proofErr w:type="gramEnd"/>
          </w:p>
          <w:p w14:paraId="05F6C2A9" w14:textId="698A99D6" w:rsidR="000174E5" w:rsidRPr="003B3592" w:rsidRDefault="000174E5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3458BE2" w14:textId="081D9805" w:rsidR="006C2D9B" w:rsidRPr="003B3592" w:rsidRDefault="006C2D9B" w:rsidP="59D9D59F">
            <w:pPr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Apologies</w:t>
            </w:r>
          </w:p>
          <w:p w14:paraId="6B7EE0CF" w14:textId="77777777" w:rsidR="006C2D9B" w:rsidRPr="003B3592" w:rsidRDefault="006C2D9B" w:rsidP="59D9D59F">
            <w:pPr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14:paraId="7BAB8429" w14:textId="49954453" w:rsidR="006C2D9B" w:rsidRPr="003B3592" w:rsidRDefault="006C2D9B" w:rsidP="59D9D59F">
            <w:pPr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WSCC</w:t>
            </w:r>
          </w:p>
          <w:p w14:paraId="1087E006" w14:textId="77777777" w:rsidR="00D90A70" w:rsidRPr="003B3592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Jenny Boyd, AD Children’s Social Care and Early Help</w:t>
            </w:r>
          </w:p>
          <w:p w14:paraId="173F144C" w14:textId="16500AA8" w:rsidR="006F6C41" w:rsidRPr="003B3592" w:rsidRDefault="00D90A70" w:rsidP="006F6C41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Claire Hayes, Head of Early Help</w:t>
            </w:r>
          </w:p>
          <w:p w14:paraId="7F7BCDAC" w14:textId="1CCB38FE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Loretta Rogers, AD Adult Operations</w:t>
            </w:r>
          </w:p>
          <w:p w14:paraId="358AFCA9" w14:textId="27453C26" w:rsidR="001B0FD6" w:rsidRDefault="00D90A70" w:rsidP="001B0FD6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Fiona Mackison, Public Health Strategic Commissioning Lead</w:t>
            </w:r>
          </w:p>
          <w:p w14:paraId="60D98A4B" w14:textId="149B53C3" w:rsidR="00D90A70" w:rsidRPr="003B3592" w:rsidRDefault="00D90A70" w:rsidP="001B0FD6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Vicky Richardson, Head of Practice</w:t>
            </w:r>
          </w:p>
          <w:p w14:paraId="536D8919" w14:textId="58BBC2FF" w:rsidR="001B0FD6" w:rsidRPr="003B3592" w:rsidRDefault="00D90A70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Daniel Ruaux, AD Corporate Parenting</w:t>
            </w:r>
          </w:p>
          <w:p w14:paraId="7B947C3C" w14:textId="0A6F1684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62BF7E39" w14:textId="34DB3DA7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Education and schools</w:t>
            </w:r>
          </w:p>
          <w:p w14:paraId="1E887BCD" w14:textId="7CED5E57" w:rsidR="006C2D9B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Representative of primary schools</w:t>
            </w:r>
          </w:p>
          <w:p w14:paraId="55835FF1" w14:textId="77777777" w:rsidR="00D90A70" w:rsidRPr="003B3592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Phillip Potter, Head Oak Grove College</w:t>
            </w:r>
          </w:p>
          <w:p w14:paraId="385EBE8D" w14:textId="25C10A81" w:rsidR="006C2D9B" w:rsidRPr="003B3592" w:rsidRDefault="006C2D9B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34F324BD" w14:textId="4FDD5334" w:rsidR="00BD2B54" w:rsidRDefault="006F6C41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Parent Carers</w:t>
            </w:r>
          </w:p>
          <w:p w14:paraId="2E4DBDDD" w14:textId="77777777" w:rsidR="006F6C41" w:rsidRDefault="006F6C41" w:rsidP="006F6C41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Rowan Westwood, West Sussex Parent Carers Forum</w:t>
            </w:r>
          </w:p>
          <w:p w14:paraId="421D4868" w14:textId="02ED2F20" w:rsidR="00D90A70" w:rsidRPr="003B3592" w:rsidRDefault="00D90A70" w:rsidP="006F6C41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John Clifton, West Sussex Parent Carers Forum</w:t>
            </w:r>
          </w:p>
          <w:p w14:paraId="0C803A6A" w14:textId="77777777" w:rsidR="006F6C41" w:rsidRDefault="006F6C41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3DF2F071" w14:textId="77777777" w:rsidR="00D90A70" w:rsidRPr="003B3592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/>
                <w:color w:val="000000" w:themeColor="text1"/>
                <w:sz w:val="20"/>
              </w:rPr>
              <w:t>Councillor Representative</w:t>
            </w:r>
          </w:p>
          <w:p w14:paraId="2BFEFCA3" w14:textId="77777777" w:rsid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3B3592">
              <w:rPr>
                <w:rFonts w:ascii="Verdana" w:hAnsi="Verdana"/>
                <w:bCs/>
                <w:color w:val="000000" w:themeColor="text1"/>
                <w:sz w:val="20"/>
              </w:rPr>
              <w:t>Jacquie Russell, Cabinet member</w:t>
            </w:r>
          </w:p>
          <w:p w14:paraId="023EF460" w14:textId="77777777" w:rsid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425C8528" w14:textId="0D13BCFD" w:rsid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Department for Education</w:t>
            </w:r>
          </w:p>
          <w:p w14:paraId="5C712A9C" w14:textId="7859531D" w:rsidR="00D90A70" w:rsidRPr="00D90A70" w:rsidRDefault="00D90A70" w:rsidP="00D90A70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</w:rPr>
              <w:t>Liz Flaherty</w:t>
            </w:r>
          </w:p>
          <w:p w14:paraId="7EC9F287" w14:textId="77777777" w:rsidR="000174E5" w:rsidRDefault="000174E5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1709D4E0" w14:textId="77777777" w:rsidR="000174E5" w:rsidRDefault="000174E5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5F242FC9" w14:textId="77777777" w:rsidR="000174E5" w:rsidRPr="006F6C41" w:rsidRDefault="000174E5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1F967553" w14:textId="6A1FAE4B" w:rsidR="003B3592" w:rsidRDefault="003B3592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5C6E557A" w14:textId="0FD2082F" w:rsidR="003B3592" w:rsidRDefault="003B3592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0790A4E8" w14:textId="531303BD" w:rsidR="003B3592" w:rsidRDefault="003B3592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1B8350FD" w14:textId="17C6BFE5" w:rsidR="003B3592" w:rsidRDefault="003B3592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51C8EFFB" w14:textId="77777777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669BB959" w14:textId="77777777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6A10215D" w14:textId="77777777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40F83D88" w14:textId="77777777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2F741B37" w14:textId="77777777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  <w:p w14:paraId="7EA597AE" w14:textId="0E5D618D" w:rsidR="00BD2B54" w:rsidRPr="003B3592" w:rsidRDefault="00BD2B54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0"/>
              </w:rPr>
            </w:pPr>
          </w:p>
        </w:tc>
      </w:tr>
      <w:tr w:rsidR="006C2D9B" w:rsidRPr="00E90CCA" w14:paraId="3174C1B2" w14:textId="77777777" w:rsidTr="59D9D59F">
        <w:trPr>
          <w:trHeight w:val="144"/>
        </w:trPr>
        <w:tc>
          <w:tcPr>
            <w:tcW w:w="851" w:type="dxa"/>
            <w:vAlign w:val="center"/>
          </w:tcPr>
          <w:p w14:paraId="6ADB5EB9" w14:textId="128973E4" w:rsidR="006C2D9B" w:rsidRPr="00E90CCA" w:rsidRDefault="006C2D9B" w:rsidP="59D9D59F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E90CCA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lastRenderedPageBreak/>
              <w:t xml:space="preserve">Item </w:t>
            </w:r>
          </w:p>
        </w:tc>
        <w:tc>
          <w:tcPr>
            <w:tcW w:w="8079" w:type="dxa"/>
            <w:gridSpan w:val="2"/>
            <w:vAlign w:val="center"/>
          </w:tcPr>
          <w:p w14:paraId="3E2FAE85" w14:textId="0E2E089C" w:rsidR="006C2D9B" w:rsidRPr="00E90CCA" w:rsidRDefault="006C2D9B" w:rsidP="59D9D59F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14:paraId="7CCDD584" w14:textId="77777777" w:rsidR="006C2D9B" w:rsidRPr="00E90CCA" w:rsidRDefault="006C2D9B" w:rsidP="59D9D59F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F8521F5" w14:textId="4647031A" w:rsidR="006C2D9B" w:rsidRPr="00E90CCA" w:rsidRDefault="006C2D9B" w:rsidP="59D9D59F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E90CCA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6C2D9B" w:rsidRPr="008F235F" w14:paraId="33E6AD47" w14:textId="31B8FD53" w:rsidTr="59D9D59F">
        <w:trPr>
          <w:trHeight w:val="144"/>
        </w:trPr>
        <w:tc>
          <w:tcPr>
            <w:tcW w:w="851" w:type="dxa"/>
          </w:tcPr>
          <w:p w14:paraId="5C668CF8" w14:textId="77040A81" w:rsidR="006C2D9B" w:rsidRPr="00E90CCA" w:rsidRDefault="006C2D9B" w:rsidP="59D9D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14:paraId="61C98D69" w14:textId="77777777" w:rsidR="00BF439F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Action Log</w:t>
            </w:r>
          </w:p>
          <w:p w14:paraId="7B673B91" w14:textId="77777777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AF6C9F1" w14:textId="54A8E84B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Action Sept 1.1 School representation,</w:t>
            </w:r>
            <w:proofErr w:type="gram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now closed: Two primary school heads will attend alternate meetings – Zoe Gordon, HT North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Mundham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, and Lisa Harris, HT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Rumboldswhyke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  <w:p w14:paraId="43BE70C3" w14:textId="77777777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56091C5C" w14:textId="21EB22F5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Action Sept 2.2 SENAT comms to parents, now closed: Letter to parents at 16 weeks is going out from this week.</w:t>
            </w:r>
          </w:p>
          <w:p w14:paraId="152793BA" w14:textId="77777777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9C78637" w14:textId="77777777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Action Jan 1.1 completed: Mike Smith, Simon Brown and Paul Morrison to visit Basingstoke College Employability Hub on 26 March.</w:t>
            </w:r>
          </w:p>
          <w:p w14:paraId="00C03814" w14:textId="77777777" w:rsid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653AE387" w14:textId="7C911D95" w:rsidR="00831179" w:rsidRPr="00831179" w:rsidRDefault="00831179" w:rsidP="00BF43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Action Feb 2.1 Representation from health providers: board meeting on 29 April will have a health focused item</w:t>
            </w:r>
            <w:r w:rsidR="00B10483">
              <w:rPr>
                <w:rFonts w:ascii="Verdana" w:hAnsi="Verdana"/>
                <w:color w:val="000000" w:themeColor="text1"/>
                <w:sz w:val="22"/>
                <w:szCs w:val="22"/>
              </w:rPr>
              <w:t>; to be quarterly thereafter.</w:t>
            </w:r>
          </w:p>
        </w:tc>
        <w:tc>
          <w:tcPr>
            <w:tcW w:w="1278" w:type="dxa"/>
          </w:tcPr>
          <w:p w14:paraId="03E155A4" w14:textId="77777777" w:rsidR="00F4681B" w:rsidRDefault="00F4681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52CD92E3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6D4838B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BD496F1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7232FE9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30A67523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E301E1B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26D406C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8741C20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BED55A8" w14:textId="77777777" w:rsidR="00230CE0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0DB3099" w14:textId="15E33112" w:rsidR="00230CE0" w:rsidRPr="00E90CCA" w:rsidRDefault="00230CE0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5452DD" w:rsidRPr="00E90CCA" w14:paraId="271DA571" w14:textId="77777777" w:rsidTr="59D9D59F">
        <w:trPr>
          <w:trHeight w:val="322"/>
        </w:trPr>
        <w:tc>
          <w:tcPr>
            <w:tcW w:w="851" w:type="dxa"/>
          </w:tcPr>
          <w:p w14:paraId="5A0118E8" w14:textId="77777777" w:rsidR="005452DD" w:rsidRPr="00E90CCA" w:rsidRDefault="005452DD" w:rsidP="59D9D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14:paraId="3CD08320" w14:textId="0A9D1262" w:rsidR="00B10483" w:rsidRPr="0056065D" w:rsidRDefault="00B10483" w:rsidP="00B10483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Ofsted SEND Local Area Inspection- </w:t>
            </w:r>
            <w:hyperlink r:id="rId13" w:history="1">
              <w:r w:rsidRPr="0056065D">
                <w:rPr>
                  <w:rStyle w:val="Hyperlink"/>
                  <w:rFonts w:ascii="Verdana" w:hAnsi="Verdana"/>
                  <w:b/>
                  <w:sz w:val="22"/>
                  <w:szCs w:val="22"/>
                </w:rPr>
                <w:t>report</w:t>
              </w:r>
            </w:hyperlink>
          </w:p>
          <w:p w14:paraId="74C13A46" w14:textId="77777777" w:rsidR="00B10483" w:rsidRPr="0056065D" w:rsidRDefault="00B10483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20B310AB" w14:textId="77777777" w:rsidR="00B10483" w:rsidRPr="0056065D" w:rsidRDefault="00B10483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See attached presentation.</w:t>
            </w:r>
          </w:p>
          <w:p w14:paraId="79BABFE1" w14:textId="77777777" w:rsidR="00B10483" w:rsidRPr="0056065D" w:rsidRDefault="00B10483" w:rsidP="59D9D59F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39EB113F" w14:textId="059CDE79" w:rsidR="002A4F19" w:rsidRPr="0065730C" w:rsidRDefault="00B10483" w:rsidP="004D3E04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We got the 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middle 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judgement we were expecting and there were no surprises.  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It was noted that</w:t>
            </w:r>
            <w:r w:rsidR="0056065D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generally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large authorit</w:t>
            </w:r>
            <w:r w:rsidR="0056065D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ies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6065D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and those 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with low levels of funding</w:t>
            </w:r>
            <w:r w:rsidR="0056065D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250B3" w:rsidRPr="0065730C">
              <w:rPr>
                <w:rFonts w:ascii="Verdana" w:hAnsi="Verdana"/>
                <w:bCs/>
                <w:sz w:val="22"/>
                <w:szCs w:val="22"/>
              </w:rPr>
              <w:t>have fared less well in inspection outcomes.</w:t>
            </w:r>
          </w:p>
          <w:p w14:paraId="19423CFB" w14:textId="29CBDEA7" w:rsidR="00B10483" w:rsidRPr="0056065D" w:rsidRDefault="002A4F19" w:rsidP="004D3E04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The items raised under the section “What does the area partnership need to do better” </w:t>
            </w:r>
            <w:r w:rsidR="00B10483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are all included in our </w:t>
            </w:r>
            <w:r w:rsidR="0056065D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Partner Working Groups (</w:t>
            </w:r>
            <w:r w:rsidR="00B10483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PWGs</w:t>
            </w:r>
            <w:r w:rsidR="0056065D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)</w:t>
            </w:r>
            <w:r w:rsidR="00B10483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and Transformation work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and will be cross-referenced with our Action Plans to allow for easier monitoring. </w:t>
            </w:r>
          </w:p>
          <w:p w14:paraId="2D655F00" w14:textId="06B5BCCF" w:rsidR="002A4F19" w:rsidRPr="0056065D" w:rsidRDefault="002A4F19" w:rsidP="004D3E04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Under the new DfE guidance, there will be a Senior officials</w:t>
            </w:r>
            <w:r w:rsidR="003D12E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’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meeting on 17 March at which we need to present the improvement plan in a formal document.  The five Areas for Improvement will be </w:t>
            </w:r>
            <w:r w:rsidR="00153B7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included in </w:t>
            </w:r>
            <w:proofErr w:type="gramStart"/>
            <w:r w:rsidR="00153B7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this</w:t>
            </w:r>
            <w:proofErr w:type="gramEnd"/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and the final document shared with the Board for monitoring.  </w:t>
            </w:r>
          </w:p>
          <w:p w14:paraId="4DCFC981" w14:textId="601FCB99" w:rsidR="00DC01A4" w:rsidRPr="0056065D" w:rsidRDefault="004D3E04" w:rsidP="004D3E04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Area 1 “waiting well”</w:t>
            </w:r>
            <w:r w:rsidR="00DC01A4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we need a partnership response to this to show we can be creative and do things differently.</w:t>
            </w:r>
          </w:p>
          <w:p w14:paraId="54E5B1AA" w14:textId="77777777" w:rsidR="004D3E04" w:rsidRPr="0056065D" w:rsidRDefault="004D3E04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CT is coordinating briefing papers on </w:t>
            </w:r>
          </w:p>
          <w:p w14:paraId="0ADDA3AC" w14:textId="77777777" w:rsidR="004D3E04" w:rsidRPr="0056065D" w:rsidRDefault="004D3E04" w:rsidP="004D3E04">
            <w:pPr>
              <w:pStyle w:val="ListParagraph"/>
              <w:numPr>
                <w:ilvl w:val="2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CAMHS</w:t>
            </w:r>
          </w:p>
          <w:p w14:paraId="73DCB9F3" w14:textId="77777777" w:rsidR="004D3E04" w:rsidRPr="0056065D" w:rsidRDefault="004D3E04" w:rsidP="004D3E04">
            <w:pPr>
              <w:pStyle w:val="ListParagraph"/>
              <w:numPr>
                <w:ilvl w:val="2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Therapies</w:t>
            </w:r>
          </w:p>
          <w:p w14:paraId="75D68F84" w14:textId="1A74A022" w:rsidR="004D3E04" w:rsidRPr="0056065D" w:rsidRDefault="004D3E04" w:rsidP="004D3E04">
            <w:pPr>
              <w:pStyle w:val="ListParagraph"/>
              <w:numPr>
                <w:ilvl w:val="2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Dynamic Support Register</w:t>
            </w:r>
          </w:p>
          <w:p w14:paraId="434CBF0D" w14:textId="77777777" w:rsidR="004D3E04" w:rsidRPr="0056065D" w:rsidRDefault="004D3E04" w:rsidP="004D3E04">
            <w:pPr>
              <w:pStyle w:val="ListParagraph"/>
              <w:numPr>
                <w:ilvl w:val="2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ND Pathway</w:t>
            </w:r>
          </w:p>
          <w:p w14:paraId="724A388D" w14:textId="77777777" w:rsidR="004D3E04" w:rsidRPr="0056065D" w:rsidRDefault="004D3E04" w:rsidP="004D3E04">
            <w:pPr>
              <w:pStyle w:val="ListParagraph"/>
              <w:numPr>
                <w:ilvl w:val="2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Health input into EHCP</w:t>
            </w:r>
          </w:p>
          <w:p w14:paraId="24686978" w14:textId="77777777" w:rsidR="004D3E04" w:rsidRPr="0056065D" w:rsidRDefault="004D3E04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Recruitment remains a challenge across all therapies. </w:t>
            </w:r>
          </w:p>
          <w:p w14:paraId="0644017D" w14:textId="77777777" w:rsidR="004D3E04" w:rsidRPr="0056065D" w:rsidRDefault="004D3E04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Our response to the Ofsted Report needs to be in by 8 April – VC will pick up health response with CT.</w:t>
            </w:r>
          </w:p>
          <w:p w14:paraId="5CA0E3A9" w14:textId="7964BC1E" w:rsidR="00B10483" w:rsidRPr="0056065D" w:rsidRDefault="004D3E04" w:rsidP="006D31C4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Area 2 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Video-fluoroscopy machine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A4F19"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this is now fixed.  Challenges remain with regards to recruitment which mean there is only one list held each week.  </w:t>
            </w:r>
          </w:p>
          <w:p w14:paraId="4D0EB0A7" w14:textId="77777777" w:rsidR="002B63FF" w:rsidRPr="0056065D" w:rsidRDefault="004D3E04" w:rsidP="004D3E04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Area 3 Timeliness and quality of EHCPs: alongside our EHCP Response Plan we </w:t>
            </w:r>
            <w:r w:rsidR="002B63FF" w:rsidRPr="0056065D">
              <w:rPr>
                <w:rFonts w:ascii="Verdana" w:hAnsi="Verdana"/>
                <w:sz w:val="22"/>
                <w:szCs w:val="22"/>
              </w:rPr>
              <w:t xml:space="preserve">are also focusing on QA and have revived the EHCP audits.  </w:t>
            </w:r>
          </w:p>
          <w:p w14:paraId="6EDC7DE6" w14:textId="2DA365D5" w:rsidR="00033AA9" w:rsidRPr="0056065D" w:rsidRDefault="00033AA9" w:rsidP="002B63FF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There is a significant amount of work to be done with schools around what Inclusion is and </w:t>
            </w:r>
            <w:r w:rsidR="002B63FF" w:rsidRPr="0056065D">
              <w:rPr>
                <w:rFonts w:ascii="Verdana" w:hAnsi="Verdana"/>
                <w:sz w:val="22"/>
                <w:szCs w:val="22"/>
              </w:rPr>
              <w:t xml:space="preserve">the part mainstream schools play.  </w:t>
            </w:r>
            <w:r w:rsidRPr="0056065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5E75035" w14:textId="6A84AC01" w:rsidR="00E32DF3" w:rsidRPr="0056065D" w:rsidRDefault="00E32DF3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lastRenderedPageBreak/>
              <w:t xml:space="preserve">There are pockets of good practice but there is evidence that some schools are repeatedly refusing to take </w:t>
            </w:r>
            <w:r w:rsidR="003D12E7">
              <w:rPr>
                <w:rFonts w:ascii="Verdana" w:hAnsi="Verdana"/>
                <w:sz w:val="22"/>
                <w:szCs w:val="22"/>
              </w:rPr>
              <w:t>pupils</w:t>
            </w:r>
            <w:r w:rsidRPr="0056065D">
              <w:rPr>
                <w:rFonts w:ascii="Verdana" w:hAnsi="Verdana"/>
                <w:sz w:val="22"/>
                <w:szCs w:val="22"/>
              </w:rPr>
              <w:t xml:space="preserve"> with EHCPs, citing Code 3.10.  Exclusion rates are also variable. </w:t>
            </w:r>
          </w:p>
          <w:p w14:paraId="751C003A" w14:textId="26CABBFA" w:rsidR="00033AA9" w:rsidRPr="0056065D" w:rsidRDefault="00033AA9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The DBV diagnostics shows us that our mainstream schools take significantly fewer </w:t>
            </w:r>
            <w:r w:rsidR="003D12E7">
              <w:rPr>
                <w:rFonts w:ascii="Verdana" w:hAnsi="Verdana"/>
                <w:sz w:val="22"/>
                <w:szCs w:val="22"/>
              </w:rPr>
              <w:t>children/young people</w:t>
            </w:r>
            <w:r w:rsidRPr="0056065D">
              <w:rPr>
                <w:rFonts w:ascii="Verdana" w:hAnsi="Verdana"/>
                <w:sz w:val="22"/>
                <w:szCs w:val="22"/>
              </w:rPr>
              <w:t xml:space="preserve"> with EHCPs than our statistical neighbours.  West Sussex showed 0 growth in EHCPs in mainstream, whereas Hampshire showed an increase of 40%.</w:t>
            </w:r>
          </w:p>
          <w:p w14:paraId="37DA63CD" w14:textId="6864D874" w:rsidR="00E32DF3" w:rsidRPr="0056065D" w:rsidRDefault="00E32DF3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Hampshire introduced an Invest to Save initiative, to encourage more schools to </w:t>
            </w:r>
            <w:r w:rsidR="004D3E04" w:rsidRPr="0056065D">
              <w:rPr>
                <w:rFonts w:ascii="Verdana" w:hAnsi="Verdana"/>
                <w:sz w:val="22"/>
                <w:szCs w:val="22"/>
              </w:rPr>
              <w:t>be more inclusive</w:t>
            </w:r>
            <w:r w:rsidRPr="0056065D">
              <w:rPr>
                <w:rFonts w:ascii="Verdana" w:hAnsi="Verdana"/>
                <w:sz w:val="22"/>
                <w:szCs w:val="22"/>
              </w:rPr>
              <w:t xml:space="preserve">.  Schools </w:t>
            </w:r>
            <w:r w:rsidR="004D3E04" w:rsidRPr="0056065D">
              <w:rPr>
                <w:rFonts w:ascii="Verdana" w:hAnsi="Verdana"/>
                <w:sz w:val="22"/>
                <w:szCs w:val="22"/>
              </w:rPr>
              <w:t>c</w:t>
            </w:r>
            <w:r w:rsidRPr="0056065D">
              <w:rPr>
                <w:rFonts w:ascii="Verdana" w:hAnsi="Verdana"/>
                <w:sz w:val="22"/>
                <w:szCs w:val="22"/>
              </w:rPr>
              <w:t xml:space="preserve">ould come together in locality clusters and </w:t>
            </w:r>
            <w:r w:rsidR="004D3E04" w:rsidRPr="0056065D">
              <w:rPr>
                <w:rFonts w:ascii="Verdana" w:hAnsi="Verdana"/>
                <w:sz w:val="22"/>
                <w:szCs w:val="22"/>
              </w:rPr>
              <w:t xml:space="preserve">bid for money to support </w:t>
            </w:r>
            <w:r w:rsidR="003D12E7">
              <w:rPr>
                <w:rFonts w:ascii="Verdana" w:hAnsi="Verdana"/>
                <w:sz w:val="22"/>
                <w:szCs w:val="22"/>
              </w:rPr>
              <w:t>pupils</w:t>
            </w:r>
            <w:r w:rsidR="004D3E04" w:rsidRPr="0056065D">
              <w:rPr>
                <w:rFonts w:ascii="Verdana" w:hAnsi="Verdana"/>
                <w:sz w:val="22"/>
                <w:szCs w:val="22"/>
              </w:rPr>
              <w:t xml:space="preserve"> without an EHCP, </w:t>
            </w:r>
            <w:proofErr w:type="spellStart"/>
            <w:r w:rsidR="004D3E04" w:rsidRPr="0056065D">
              <w:rPr>
                <w:rFonts w:ascii="Verdana" w:hAnsi="Verdana"/>
                <w:sz w:val="22"/>
                <w:szCs w:val="22"/>
              </w:rPr>
              <w:t>eg</w:t>
            </w:r>
            <w:proofErr w:type="spellEnd"/>
            <w:r w:rsidR="004D3E04" w:rsidRPr="0056065D">
              <w:rPr>
                <w:rFonts w:ascii="Verdana" w:hAnsi="Verdana"/>
                <w:sz w:val="22"/>
                <w:szCs w:val="22"/>
              </w:rPr>
              <w:t xml:space="preserve"> one cluster brought in a SALT, another cluster brought in an SEMH specialist.</w:t>
            </w:r>
          </w:p>
          <w:p w14:paraId="156D42B3" w14:textId="1AAFF754" w:rsidR="004D3E04" w:rsidRPr="0056065D" w:rsidRDefault="004D3E04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Andrea Morgan is leading on a pilot working with schools around different approaches to Inclusion, as part of the DBV work.  </w:t>
            </w:r>
          </w:p>
          <w:p w14:paraId="6CAC6AFA" w14:textId="3B8E0CB4" w:rsidR="002B63FF" w:rsidRPr="0056065D" w:rsidRDefault="002B63FF" w:rsidP="004D3E04">
            <w:pPr>
              <w:pStyle w:val="ListParagraph"/>
              <w:numPr>
                <w:ilvl w:val="1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>It was noted that the DfE sends out mixed messages around inclusion, behaviour and attendance.</w:t>
            </w:r>
          </w:p>
          <w:p w14:paraId="7712EBCF" w14:textId="4C92ED68" w:rsidR="00033AA9" w:rsidRPr="0056065D" w:rsidRDefault="002B63FF" w:rsidP="008B66C5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Area 4: Alternative Provision will be covered in PWG 4.  With regards to place planning, the board should have oversight of </w:t>
            </w:r>
            <w:proofErr w:type="gramStart"/>
            <w:r w:rsidRPr="0056065D">
              <w:rPr>
                <w:rFonts w:ascii="Verdana" w:hAnsi="Verdana"/>
                <w:sz w:val="22"/>
                <w:szCs w:val="22"/>
              </w:rPr>
              <w:t>this</w:t>
            </w:r>
            <w:proofErr w:type="gramEnd"/>
            <w:r w:rsidRPr="0056065D">
              <w:rPr>
                <w:rFonts w:ascii="Verdana" w:hAnsi="Verdana"/>
                <w:sz w:val="22"/>
                <w:szCs w:val="22"/>
              </w:rPr>
              <w:t xml:space="preserve"> and we </w:t>
            </w:r>
            <w:r w:rsidR="00A22EA6">
              <w:rPr>
                <w:rFonts w:ascii="Verdana" w:hAnsi="Verdana"/>
                <w:sz w:val="22"/>
                <w:szCs w:val="22"/>
              </w:rPr>
              <w:t xml:space="preserve">will instigate </w:t>
            </w:r>
            <w:r w:rsidRPr="0056065D">
              <w:rPr>
                <w:rFonts w:ascii="Verdana" w:hAnsi="Verdana"/>
                <w:sz w:val="22"/>
                <w:szCs w:val="22"/>
              </w:rPr>
              <w:t xml:space="preserve">regular updates. </w:t>
            </w:r>
          </w:p>
          <w:p w14:paraId="724311BC" w14:textId="77777777" w:rsidR="00033AA9" w:rsidRPr="0056065D" w:rsidRDefault="00033AA9" w:rsidP="00033AA9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F2B714F" w14:textId="6AFEC164" w:rsidR="00033AA9" w:rsidRPr="0056065D" w:rsidRDefault="00033AA9" w:rsidP="00033AA9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bCs/>
                <w:sz w:val="22"/>
                <w:szCs w:val="22"/>
              </w:rPr>
              <w:t>ACTIONS</w:t>
            </w:r>
          </w:p>
          <w:p w14:paraId="2C008429" w14:textId="3C0F9DF1" w:rsidR="00033AA9" w:rsidRPr="0056065D" w:rsidRDefault="00033AA9" w:rsidP="002B63FF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56065D">
              <w:rPr>
                <w:rFonts w:ascii="Verdana" w:hAnsi="Verdana"/>
                <w:sz w:val="22"/>
                <w:szCs w:val="22"/>
              </w:rPr>
              <w:t xml:space="preserve">VC to pick up health response to Ofsted report with </w:t>
            </w:r>
            <w:proofErr w:type="gramStart"/>
            <w:r w:rsidRPr="0056065D">
              <w:rPr>
                <w:rFonts w:ascii="Verdana" w:hAnsi="Verdana"/>
                <w:sz w:val="22"/>
                <w:szCs w:val="22"/>
              </w:rPr>
              <w:t>CT</w:t>
            </w:r>
            <w:proofErr w:type="gramEnd"/>
          </w:p>
          <w:p w14:paraId="324C9C5D" w14:textId="1651CEC4" w:rsidR="00DC01A4" w:rsidRPr="003D12E7" w:rsidRDefault="002B63FF" w:rsidP="00B722DE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sz w:val="22"/>
                <w:szCs w:val="22"/>
              </w:rPr>
            </w:pPr>
            <w:r w:rsidRPr="003D12E7">
              <w:rPr>
                <w:rFonts w:ascii="Verdana" w:hAnsi="Verdana"/>
                <w:sz w:val="22"/>
                <w:szCs w:val="22"/>
              </w:rPr>
              <w:t>Invite Graham Olway to report on Place Planning and provide regular updates.</w:t>
            </w:r>
          </w:p>
          <w:p w14:paraId="7725645B" w14:textId="425075F0" w:rsidR="00DC01A4" w:rsidRPr="0056065D" w:rsidRDefault="00DC01A4" w:rsidP="00DC01A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C0270AD" w14:textId="77777777" w:rsidR="005452DD" w:rsidRDefault="005452DD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F1F2A73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18A380EE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3BD3FF4B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3DC9092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B66DC9D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1AC6EE7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F63D0F5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68DF654B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6FDDC7C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8FF926D" w14:textId="77777777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087DC5C" w14:textId="7FA88296" w:rsidR="00230CE0" w:rsidRDefault="00230CE0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6C2D9B" w:rsidRPr="00E90CCA" w14:paraId="768D26AD" w14:textId="77777777" w:rsidTr="59D9D59F">
        <w:trPr>
          <w:trHeight w:val="322"/>
        </w:trPr>
        <w:tc>
          <w:tcPr>
            <w:tcW w:w="851" w:type="dxa"/>
          </w:tcPr>
          <w:p w14:paraId="7786C8A7" w14:textId="77777777" w:rsidR="006C2D9B" w:rsidRPr="00E90CCA" w:rsidRDefault="006C2D9B" w:rsidP="59D9D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14:paraId="14F5D658" w14:textId="77777777" w:rsidR="00E50777" w:rsidRPr="0056065D" w:rsidRDefault="002B63FF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EHCP Response Plan</w:t>
            </w:r>
          </w:p>
          <w:p w14:paraId="15CCFDC3" w14:textId="77777777" w:rsidR="002B63FF" w:rsidRPr="0056065D" w:rsidRDefault="002B63FF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See attached report.</w:t>
            </w:r>
          </w:p>
          <w:p w14:paraId="6D2DD288" w14:textId="77777777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0D4BCD5A" w14:textId="77777777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Generally</w:t>
            </w:r>
            <w:proofErr w:type="gramEnd"/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things are continuing to improve – </w:t>
            </w:r>
            <w:proofErr w:type="spellStart"/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, numbers of EP assessments have increased significantly, and the monthly timeliness for completing plans continues to increase.  </w:t>
            </w:r>
          </w:p>
          <w:p w14:paraId="309F4E24" w14:textId="77777777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723B2362" w14:textId="6CE56199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It will take time to get through the backlog</w:t>
            </w:r>
            <w:r w:rsidR="003D12E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. The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learning from </w:t>
            </w:r>
            <w:r w:rsidR="003D12E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talking to </w:t>
            </w: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East Sussex and Hampshire is that this could take up to 18 months.</w:t>
            </w:r>
          </w:p>
          <w:p w14:paraId="053AACDE" w14:textId="77777777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1155B34E" w14:textId="77777777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Now that we have valid data, it would be sensible to review the targets, otherwise there is a danger that teams will be working very hard but will feel that they are underperforming.</w:t>
            </w:r>
          </w:p>
          <w:p w14:paraId="7F670806" w14:textId="77777777" w:rsidR="006A60A8" w:rsidRPr="0056065D" w:rsidRDefault="006A60A8" w:rsidP="00515584">
            <w:p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152FB36B" w14:textId="6AC2F998" w:rsidR="00764BEC" w:rsidRPr="0056065D" w:rsidRDefault="00764BEC" w:rsidP="00515584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ACTIONS:</w:t>
            </w:r>
          </w:p>
          <w:p w14:paraId="51C795F5" w14:textId="2BDACA7A" w:rsidR="00764BEC" w:rsidRPr="0056065D" w:rsidRDefault="00764BEC" w:rsidP="00764BEC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Review targets so they are realistic and achievable.</w:t>
            </w:r>
          </w:p>
          <w:p w14:paraId="2C53F495" w14:textId="19EFAE2A" w:rsidR="00764BEC" w:rsidRPr="0056065D" w:rsidRDefault="00764BEC" w:rsidP="00764BEC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CT to link with MF around timeliness of health contributions.</w:t>
            </w:r>
          </w:p>
          <w:p w14:paraId="08CC9639" w14:textId="191FC426" w:rsidR="006A60A8" w:rsidRPr="0056065D" w:rsidRDefault="006A60A8" w:rsidP="00515584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FDB30DE" w14:textId="725099C8" w:rsidR="006C2D9B" w:rsidRDefault="006C2D9B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192881B9" w14:textId="4205579F" w:rsidR="00AB48FA" w:rsidRDefault="00AB48FA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61FF3831" w14:textId="171B89F1" w:rsidR="00AB48FA" w:rsidRDefault="00AB48FA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1687A9BC" w14:textId="54B7EF35" w:rsidR="00AB48FA" w:rsidRDefault="00AB48FA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F60A4FD" w14:textId="29A6447F" w:rsidR="00D41642" w:rsidRDefault="00D41642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6A9E73A8" w14:textId="5BC7E4B9" w:rsidR="00D41642" w:rsidRDefault="00D41642" w:rsidP="59D9D59F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60F5AC17" w14:textId="77777777" w:rsidR="0074193E" w:rsidRDefault="0074193E" w:rsidP="00AB48FA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30AC31E3" w14:textId="77777777" w:rsidR="00515584" w:rsidRDefault="00515584" w:rsidP="00AB48FA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56B79DE7" w14:textId="77777777" w:rsidR="00515584" w:rsidRDefault="00515584" w:rsidP="00AB48FA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518108FD" w14:textId="77777777" w:rsidR="00515584" w:rsidRDefault="00515584" w:rsidP="00AB48FA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BABBD62" w14:textId="4164FE39" w:rsidR="00515584" w:rsidRPr="00E90CCA" w:rsidRDefault="00515584" w:rsidP="00AB48FA">
            <w:pPr>
              <w:tabs>
                <w:tab w:val="right" w:pos="2194"/>
              </w:tabs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74193E" w:rsidRPr="00E90CCA" w14:paraId="0E259DEC" w14:textId="77777777" w:rsidTr="59D9D59F">
        <w:trPr>
          <w:trHeight w:val="322"/>
        </w:trPr>
        <w:tc>
          <w:tcPr>
            <w:tcW w:w="851" w:type="dxa"/>
          </w:tcPr>
          <w:p w14:paraId="52BB5D01" w14:textId="77777777" w:rsidR="0074193E" w:rsidRPr="00E90CCA" w:rsidRDefault="0074193E" w:rsidP="59D9D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14:paraId="44451D0A" w14:textId="77777777" w:rsidR="00614D23" w:rsidRPr="0056065D" w:rsidRDefault="00764BEC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sz w:val="22"/>
                <w:szCs w:val="22"/>
              </w:rPr>
              <w:t>Improvement Plan: Partner Working Group 1, Mainstream and Universal Provision</w:t>
            </w:r>
          </w:p>
          <w:p w14:paraId="01B91757" w14:textId="77777777" w:rsidR="00764BEC" w:rsidRPr="0056065D" w:rsidRDefault="00764BEC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>See attached presentation and summary document.</w:t>
            </w:r>
          </w:p>
          <w:p w14:paraId="6BDA50ED" w14:textId="77777777" w:rsidR="00764BEC" w:rsidRPr="0056065D" w:rsidRDefault="00764BEC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  <w:p w14:paraId="5C176BEF" w14:textId="77777777" w:rsidR="00764BEC" w:rsidRPr="0056065D" w:rsidRDefault="00764BEC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>PWG 1 links to the third Area of Improvement identified in the Ofsted report.</w:t>
            </w:r>
          </w:p>
          <w:p w14:paraId="22948EE1" w14:textId="77777777" w:rsidR="00764BEC" w:rsidRPr="0056065D" w:rsidRDefault="00764BEC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  <w:p w14:paraId="2322C439" w14:textId="77777777" w:rsidR="00764BEC" w:rsidRPr="0056065D" w:rsidRDefault="00764BEC" w:rsidP="00764BEC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We collect but don’t currently publish exclusions data.  </w:t>
            </w:r>
          </w:p>
          <w:p w14:paraId="52F71249" w14:textId="77777777" w:rsidR="00764BEC" w:rsidRPr="0056065D" w:rsidRDefault="00764BEC" w:rsidP="00764BEC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lastRenderedPageBreak/>
              <w:t xml:space="preserve">With regards to DBV and CPP, we are using the data to put resources into schools that are inclusive.  </w:t>
            </w:r>
          </w:p>
          <w:p w14:paraId="702389B3" w14:textId="50E7888B" w:rsidR="00764BEC" w:rsidRPr="0056065D" w:rsidRDefault="00764BEC" w:rsidP="00764BEC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When talking about local provision in local communities, we need to be mindful of </w:t>
            </w:r>
            <w:r w:rsidR="003D12E7">
              <w:rPr>
                <w:rFonts w:ascii="Verdana" w:hAnsi="Verdana"/>
                <w:bCs/>
                <w:sz w:val="22"/>
                <w:szCs w:val="22"/>
              </w:rPr>
              <w:t>children and young people</w:t>
            </w: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 where this won’t be possible because of their </w:t>
            </w:r>
            <w:proofErr w:type="gramStart"/>
            <w:r w:rsidRPr="0056065D">
              <w:rPr>
                <w:rFonts w:ascii="Verdana" w:hAnsi="Verdana"/>
                <w:bCs/>
                <w:sz w:val="22"/>
                <w:szCs w:val="22"/>
              </w:rPr>
              <w:t>particular needs</w:t>
            </w:r>
            <w:proofErr w:type="gramEnd"/>
            <w:r w:rsidRPr="0056065D">
              <w:rPr>
                <w:rFonts w:ascii="Verdana" w:hAnsi="Verdana"/>
                <w:bCs/>
                <w:sz w:val="22"/>
                <w:szCs w:val="22"/>
              </w:rPr>
              <w:t>.  We don’t want to add to parental anxiety where this is the case</w:t>
            </w:r>
            <w:r w:rsidR="00D60AA2" w:rsidRPr="0056065D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14:paraId="35162C5E" w14:textId="62D60BC1" w:rsidR="00D60AA2" w:rsidRPr="0056065D" w:rsidRDefault="00D60AA2" w:rsidP="00764BEC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It would be interesting to know how many </w:t>
            </w:r>
            <w:r w:rsidR="003D12E7">
              <w:rPr>
                <w:rFonts w:ascii="Verdana" w:hAnsi="Verdana"/>
                <w:bCs/>
                <w:sz w:val="22"/>
                <w:szCs w:val="22"/>
              </w:rPr>
              <w:t>children</w:t>
            </w: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 with an EHCP don’t attend their local mainstream primary/secondary school, as this would be a good indicator of how inclusive a school is. Suggestions for finding this out include Fair Access data</w:t>
            </w:r>
            <w:r w:rsidR="003D12E7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="003D12E7" w:rsidRPr="0056065D">
              <w:rPr>
                <w:rFonts w:ascii="Verdana" w:hAnsi="Verdana"/>
                <w:bCs/>
                <w:sz w:val="22"/>
                <w:szCs w:val="22"/>
              </w:rPr>
              <w:t>Admissions</w:t>
            </w: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 data and the use of Code 3.10.  MF to investigate.</w:t>
            </w:r>
          </w:p>
          <w:p w14:paraId="75E3E0DE" w14:textId="38600FA2" w:rsidR="00D60AA2" w:rsidRPr="0056065D" w:rsidRDefault="00D60AA2" w:rsidP="00764BEC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>SB offered to provide reps for Post 16.</w:t>
            </w:r>
          </w:p>
          <w:p w14:paraId="2FE5CF9E" w14:textId="77777777" w:rsidR="00D60AA2" w:rsidRPr="0056065D" w:rsidRDefault="00D60AA2" w:rsidP="00D60AA2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  <w:p w14:paraId="69CD6B8D" w14:textId="77777777" w:rsidR="00D60AA2" w:rsidRPr="0056065D" w:rsidRDefault="00D60AA2" w:rsidP="00D60AA2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sz w:val="22"/>
                <w:szCs w:val="22"/>
              </w:rPr>
              <w:t>ACTIONS:</w:t>
            </w:r>
          </w:p>
          <w:p w14:paraId="57A828AE" w14:textId="153DD1D8" w:rsidR="00D60AA2" w:rsidRPr="0056065D" w:rsidRDefault="00D60AA2" w:rsidP="00D60AA2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MF to consider how we could find out how many CYP with an EHCP do not attend their local mainstream </w:t>
            </w:r>
            <w:r w:rsidR="003D12E7">
              <w:rPr>
                <w:rFonts w:ascii="Verdana" w:hAnsi="Verdana"/>
                <w:bCs/>
                <w:sz w:val="22"/>
                <w:szCs w:val="22"/>
              </w:rPr>
              <w:t xml:space="preserve">primary or secondary </w:t>
            </w:r>
            <w:r w:rsidRPr="0056065D">
              <w:rPr>
                <w:rFonts w:ascii="Verdana" w:hAnsi="Verdana"/>
                <w:bCs/>
                <w:sz w:val="22"/>
                <w:szCs w:val="22"/>
              </w:rPr>
              <w:t>school.</w:t>
            </w:r>
          </w:p>
          <w:p w14:paraId="78EBC441" w14:textId="6897788A" w:rsidR="00D60AA2" w:rsidRPr="0056065D" w:rsidRDefault="00D60AA2" w:rsidP="00D60AA2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>KL to liaise with SB over Post 16 reps.</w:t>
            </w:r>
          </w:p>
        </w:tc>
        <w:tc>
          <w:tcPr>
            <w:tcW w:w="1278" w:type="dxa"/>
          </w:tcPr>
          <w:p w14:paraId="5374F0E7" w14:textId="77777777" w:rsidR="0074193E" w:rsidRDefault="0074193E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58AF2B2" w14:textId="77777777" w:rsidR="00751ADF" w:rsidRDefault="00751ADF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52CFF13" w14:textId="77777777" w:rsidR="00751ADF" w:rsidRDefault="00751ADF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1F38F3EF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F003186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D01FC95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3CBD38A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1906B44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1785088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BFF0944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5AC4989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317B7AA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3C6CEB2F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1406280A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6A798AA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242AAA06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3331FB23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DBDC529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1675601B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5A3E5AC5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51572288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7770C0E5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7BE543F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3E0A2413" w14:textId="3BA51909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MF</w:t>
            </w:r>
          </w:p>
          <w:p w14:paraId="29A7369F" w14:textId="77777777" w:rsidR="005D7EEB" w:rsidRDefault="005D7EEB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46EAD925" w14:textId="77777777" w:rsidR="00D60AA2" w:rsidRDefault="00D60AA2" w:rsidP="005D7EEB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14:paraId="07D4EA1A" w14:textId="442ABECC" w:rsidR="00751ADF" w:rsidRDefault="00D60AA2" w:rsidP="005D7EEB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KL / SB</w:t>
            </w:r>
          </w:p>
        </w:tc>
      </w:tr>
      <w:tr w:rsidR="00D60AA2" w:rsidRPr="00E90CCA" w14:paraId="42DD7FCC" w14:textId="77777777" w:rsidTr="59D9D59F">
        <w:trPr>
          <w:trHeight w:val="322"/>
        </w:trPr>
        <w:tc>
          <w:tcPr>
            <w:tcW w:w="851" w:type="dxa"/>
          </w:tcPr>
          <w:p w14:paraId="2418EC18" w14:textId="77777777" w:rsidR="00D60AA2" w:rsidRPr="00E90CCA" w:rsidRDefault="00D60AA2" w:rsidP="59D9D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14:paraId="4C6B43CA" w14:textId="77777777" w:rsidR="00D60AA2" w:rsidRPr="0056065D" w:rsidRDefault="00D60AA2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sz w:val="22"/>
                <w:szCs w:val="22"/>
              </w:rPr>
              <w:t>National SEND &amp; AP Dashboard</w:t>
            </w:r>
          </w:p>
          <w:p w14:paraId="75F417B6" w14:textId="77777777" w:rsidR="00D60AA2" w:rsidRPr="0056065D" w:rsidRDefault="00D60AA2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>The dashboard is still embargoed so can’t be shared.  Once published, MF will circulate it.</w:t>
            </w:r>
          </w:p>
          <w:p w14:paraId="52C2B3E8" w14:textId="153A9259" w:rsidR="00D60AA2" w:rsidRPr="0056065D" w:rsidRDefault="00D60AA2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  <w:p w14:paraId="68FC9155" w14:textId="6D591F08" w:rsidR="00D60AA2" w:rsidRPr="0056065D" w:rsidRDefault="00D60AA2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 xml:space="preserve">It will enable us to benchmark </w:t>
            </w:r>
            <w:r w:rsidR="00C92932" w:rsidRPr="0056065D">
              <w:rPr>
                <w:rFonts w:ascii="Verdana" w:hAnsi="Verdana"/>
                <w:bCs/>
                <w:sz w:val="22"/>
                <w:szCs w:val="22"/>
              </w:rPr>
              <w:t xml:space="preserve">our data against that of other Local Authorities.  This will exclude health metrics </w:t>
            </w:r>
            <w:r w:rsidR="003D12E7">
              <w:rPr>
                <w:rFonts w:ascii="Verdana" w:hAnsi="Verdana"/>
                <w:bCs/>
                <w:sz w:val="22"/>
                <w:szCs w:val="22"/>
              </w:rPr>
              <w:t>as the NHS does not routinely collect</w:t>
            </w:r>
            <w:r w:rsidR="00C92932" w:rsidRPr="0056065D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3D12E7">
              <w:rPr>
                <w:rFonts w:ascii="Verdana" w:hAnsi="Verdana"/>
                <w:bCs/>
                <w:sz w:val="22"/>
                <w:szCs w:val="22"/>
              </w:rPr>
              <w:t>SEND</w:t>
            </w:r>
            <w:r w:rsidR="00C92932" w:rsidRPr="0056065D">
              <w:rPr>
                <w:rFonts w:ascii="Verdana" w:hAnsi="Verdana"/>
                <w:bCs/>
                <w:sz w:val="22"/>
                <w:szCs w:val="22"/>
              </w:rPr>
              <w:t xml:space="preserve"> data at a local level.</w:t>
            </w:r>
          </w:p>
          <w:p w14:paraId="6A22022D" w14:textId="77777777" w:rsidR="00D60AA2" w:rsidRPr="0056065D" w:rsidRDefault="00D60AA2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</w:p>
          <w:p w14:paraId="7F6B74A3" w14:textId="77777777" w:rsidR="00D60AA2" w:rsidRPr="0056065D" w:rsidRDefault="00D60AA2" w:rsidP="00831179">
            <w:p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/>
                <w:sz w:val="22"/>
                <w:szCs w:val="22"/>
              </w:rPr>
              <w:t>ACTIONS:</w:t>
            </w:r>
          </w:p>
          <w:p w14:paraId="6B262291" w14:textId="4F646D60" w:rsidR="00D60AA2" w:rsidRPr="0056065D" w:rsidRDefault="00D60AA2" w:rsidP="00C92932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56065D">
              <w:rPr>
                <w:rFonts w:ascii="Verdana" w:hAnsi="Verdana"/>
                <w:bCs/>
                <w:sz w:val="22"/>
                <w:szCs w:val="22"/>
              </w:rPr>
              <w:t>MF to circulate the dashboard once it is published.</w:t>
            </w:r>
          </w:p>
        </w:tc>
        <w:tc>
          <w:tcPr>
            <w:tcW w:w="1278" w:type="dxa"/>
          </w:tcPr>
          <w:p w14:paraId="31090A50" w14:textId="77777777" w:rsidR="00D60AA2" w:rsidRDefault="00D60AA2" w:rsidP="59D9D59F">
            <w:pPr>
              <w:jc w:val="lef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</w:tbl>
    <w:p w14:paraId="0EE36AF1" w14:textId="2CA246EC" w:rsidR="003342C9" w:rsidRPr="00E90CCA" w:rsidRDefault="003342C9" w:rsidP="59D9D59F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sectPr w:rsidR="003342C9" w:rsidRPr="00E90CCA" w:rsidSect="003356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964" w:right="1134" w:bottom="567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6413" w14:textId="77777777" w:rsidR="000C742D" w:rsidRDefault="000C742D" w:rsidP="00110CFD">
      <w:r>
        <w:separator/>
      </w:r>
    </w:p>
  </w:endnote>
  <w:endnote w:type="continuationSeparator" w:id="0">
    <w:p w14:paraId="084C6825" w14:textId="77777777" w:rsidR="000C742D" w:rsidRDefault="000C742D" w:rsidP="0011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21D" w14:textId="77777777" w:rsidR="00BE3DD5" w:rsidRDefault="00BE3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21BF" w14:textId="77777777" w:rsidR="00BE3DD5" w:rsidRDefault="00BE3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E81" w14:textId="77777777" w:rsidR="00BE3DD5" w:rsidRDefault="00BE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FE83" w14:textId="77777777" w:rsidR="000C742D" w:rsidRDefault="000C742D" w:rsidP="00110CFD">
      <w:r>
        <w:separator/>
      </w:r>
    </w:p>
  </w:footnote>
  <w:footnote w:type="continuationSeparator" w:id="0">
    <w:p w14:paraId="41F81CD0" w14:textId="77777777" w:rsidR="000C742D" w:rsidRDefault="000C742D" w:rsidP="0011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73C" w14:textId="1D791A55" w:rsidR="00601F03" w:rsidRDefault="00601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07C47" w14:textId="77777777" w:rsidR="00601F03" w:rsidRDefault="0060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DFF" w14:textId="77777777" w:rsidR="00BE3DD5" w:rsidRDefault="00BE3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DD5" w14:textId="3A65C240" w:rsidR="00601F03" w:rsidRDefault="00601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FF6"/>
    <w:multiLevelType w:val="hybridMultilevel"/>
    <w:tmpl w:val="C39A6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AB8"/>
    <w:multiLevelType w:val="hybridMultilevel"/>
    <w:tmpl w:val="FAAC3EC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0E30064"/>
    <w:multiLevelType w:val="hybridMultilevel"/>
    <w:tmpl w:val="4CD4B4C6"/>
    <w:lvl w:ilvl="0" w:tplc="858CECA6">
      <w:start w:val="1"/>
      <w:numFmt w:val="decimal"/>
      <w:lvlText w:val="%1.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12E36B8"/>
    <w:multiLevelType w:val="hybridMultilevel"/>
    <w:tmpl w:val="F028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E7"/>
    <w:multiLevelType w:val="hybridMultilevel"/>
    <w:tmpl w:val="1608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1067"/>
    <w:multiLevelType w:val="hybridMultilevel"/>
    <w:tmpl w:val="02E6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68B"/>
    <w:multiLevelType w:val="hybridMultilevel"/>
    <w:tmpl w:val="091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E28"/>
    <w:multiLevelType w:val="hybridMultilevel"/>
    <w:tmpl w:val="82A8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34311"/>
    <w:multiLevelType w:val="hybridMultilevel"/>
    <w:tmpl w:val="44946164"/>
    <w:lvl w:ilvl="0" w:tplc="858CEC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DD0"/>
    <w:multiLevelType w:val="hybridMultilevel"/>
    <w:tmpl w:val="C6F8A880"/>
    <w:lvl w:ilvl="0" w:tplc="858CEC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27A8"/>
    <w:multiLevelType w:val="hybridMultilevel"/>
    <w:tmpl w:val="09D0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F31"/>
    <w:multiLevelType w:val="hybridMultilevel"/>
    <w:tmpl w:val="A540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15881"/>
    <w:multiLevelType w:val="hybridMultilevel"/>
    <w:tmpl w:val="B4A4A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467A"/>
    <w:multiLevelType w:val="hybridMultilevel"/>
    <w:tmpl w:val="D494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1EF8"/>
    <w:multiLevelType w:val="hybridMultilevel"/>
    <w:tmpl w:val="A88A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7039"/>
    <w:multiLevelType w:val="multilevel"/>
    <w:tmpl w:val="EB5A5BC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2BEB1C34"/>
    <w:multiLevelType w:val="hybridMultilevel"/>
    <w:tmpl w:val="2D462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3868"/>
    <w:multiLevelType w:val="hybridMultilevel"/>
    <w:tmpl w:val="CC60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7418A"/>
    <w:multiLevelType w:val="hybridMultilevel"/>
    <w:tmpl w:val="1210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543C"/>
    <w:multiLevelType w:val="hybridMultilevel"/>
    <w:tmpl w:val="803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87EE0"/>
    <w:multiLevelType w:val="hybridMultilevel"/>
    <w:tmpl w:val="4C221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86AC5"/>
    <w:multiLevelType w:val="hybridMultilevel"/>
    <w:tmpl w:val="9358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139E3"/>
    <w:multiLevelType w:val="hybridMultilevel"/>
    <w:tmpl w:val="F9C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C1BF1"/>
    <w:multiLevelType w:val="hybridMultilevel"/>
    <w:tmpl w:val="5B2E63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726826"/>
    <w:multiLevelType w:val="hybridMultilevel"/>
    <w:tmpl w:val="9AF4234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3B0B5387"/>
    <w:multiLevelType w:val="hybridMultilevel"/>
    <w:tmpl w:val="52D6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C3D6A"/>
    <w:multiLevelType w:val="hybridMultilevel"/>
    <w:tmpl w:val="B35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70F78"/>
    <w:multiLevelType w:val="hybridMultilevel"/>
    <w:tmpl w:val="47D0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C0ECC"/>
    <w:multiLevelType w:val="hybridMultilevel"/>
    <w:tmpl w:val="A8E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C7117"/>
    <w:multiLevelType w:val="hybridMultilevel"/>
    <w:tmpl w:val="DC2410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FFA7B5D"/>
    <w:multiLevelType w:val="hybridMultilevel"/>
    <w:tmpl w:val="DA54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213CB"/>
    <w:multiLevelType w:val="hybridMultilevel"/>
    <w:tmpl w:val="24A4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00211"/>
    <w:multiLevelType w:val="hybridMultilevel"/>
    <w:tmpl w:val="F384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47C5"/>
    <w:multiLevelType w:val="hybridMultilevel"/>
    <w:tmpl w:val="165E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B525D"/>
    <w:multiLevelType w:val="hybridMultilevel"/>
    <w:tmpl w:val="FF84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4AC5"/>
    <w:multiLevelType w:val="hybridMultilevel"/>
    <w:tmpl w:val="4AE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26B1"/>
    <w:multiLevelType w:val="hybridMultilevel"/>
    <w:tmpl w:val="3DCC0ED2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C5EE1"/>
    <w:multiLevelType w:val="hybridMultilevel"/>
    <w:tmpl w:val="35BC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166DA"/>
    <w:multiLevelType w:val="hybridMultilevel"/>
    <w:tmpl w:val="FD16DC96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9" w15:restartNumberingAfterBreak="0">
    <w:nsid w:val="76F02DD2"/>
    <w:multiLevelType w:val="hybridMultilevel"/>
    <w:tmpl w:val="3DEA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D392C"/>
    <w:multiLevelType w:val="hybridMultilevel"/>
    <w:tmpl w:val="9EF6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27364"/>
    <w:multiLevelType w:val="hybridMultilevel"/>
    <w:tmpl w:val="1AEC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5621"/>
    <w:multiLevelType w:val="hybridMultilevel"/>
    <w:tmpl w:val="FB72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9D8"/>
    <w:multiLevelType w:val="hybridMultilevel"/>
    <w:tmpl w:val="E216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1B36"/>
    <w:multiLevelType w:val="hybridMultilevel"/>
    <w:tmpl w:val="45D2ECBC"/>
    <w:lvl w:ilvl="0" w:tplc="9AE0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E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8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5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C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A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65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2924827">
    <w:abstractNumId w:val="15"/>
  </w:num>
  <w:num w:numId="2" w16cid:durableId="1969125593">
    <w:abstractNumId w:val="36"/>
  </w:num>
  <w:num w:numId="3" w16cid:durableId="363484815">
    <w:abstractNumId w:val="40"/>
  </w:num>
  <w:num w:numId="4" w16cid:durableId="1813593209">
    <w:abstractNumId w:val="10"/>
  </w:num>
  <w:num w:numId="5" w16cid:durableId="687020529">
    <w:abstractNumId w:val="38"/>
  </w:num>
  <w:num w:numId="6" w16cid:durableId="1296721001">
    <w:abstractNumId w:val="28"/>
  </w:num>
  <w:num w:numId="7" w16cid:durableId="51660265">
    <w:abstractNumId w:val="26"/>
  </w:num>
  <w:num w:numId="8" w16cid:durableId="2074506236">
    <w:abstractNumId w:val="30"/>
  </w:num>
  <w:num w:numId="9" w16cid:durableId="773399694">
    <w:abstractNumId w:val="4"/>
  </w:num>
  <w:num w:numId="10" w16cid:durableId="1461802670">
    <w:abstractNumId w:val="11"/>
  </w:num>
  <w:num w:numId="11" w16cid:durableId="787353554">
    <w:abstractNumId w:val="6"/>
  </w:num>
  <w:num w:numId="12" w16cid:durableId="1837333036">
    <w:abstractNumId w:val="25"/>
  </w:num>
  <w:num w:numId="13" w16cid:durableId="1051268886">
    <w:abstractNumId w:val="35"/>
  </w:num>
  <w:num w:numId="14" w16cid:durableId="1363359972">
    <w:abstractNumId w:val="29"/>
  </w:num>
  <w:num w:numId="15" w16cid:durableId="1958020228">
    <w:abstractNumId w:val="12"/>
  </w:num>
  <w:num w:numId="16" w16cid:durableId="91782939">
    <w:abstractNumId w:val="1"/>
  </w:num>
  <w:num w:numId="17" w16cid:durableId="1664427504">
    <w:abstractNumId w:val="20"/>
  </w:num>
  <w:num w:numId="18" w16cid:durableId="1759130974">
    <w:abstractNumId w:val="16"/>
  </w:num>
  <w:num w:numId="19" w16cid:durableId="321854262">
    <w:abstractNumId w:val="7"/>
  </w:num>
  <w:num w:numId="20" w16cid:durableId="1068921968">
    <w:abstractNumId w:val="17"/>
  </w:num>
  <w:num w:numId="21" w16cid:durableId="582572818">
    <w:abstractNumId w:val="23"/>
  </w:num>
  <w:num w:numId="22" w16cid:durableId="797141995">
    <w:abstractNumId w:val="37"/>
  </w:num>
  <w:num w:numId="23" w16cid:durableId="595675020">
    <w:abstractNumId w:val="41"/>
  </w:num>
  <w:num w:numId="24" w16cid:durableId="1932083060">
    <w:abstractNumId w:val="0"/>
  </w:num>
  <w:num w:numId="25" w16cid:durableId="513499753">
    <w:abstractNumId w:val="9"/>
  </w:num>
  <w:num w:numId="26" w16cid:durableId="363411946">
    <w:abstractNumId w:val="2"/>
  </w:num>
  <w:num w:numId="27" w16cid:durableId="1969702173">
    <w:abstractNumId w:val="8"/>
  </w:num>
  <w:num w:numId="28" w16cid:durableId="1280725721">
    <w:abstractNumId w:val="3"/>
  </w:num>
  <w:num w:numId="29" w16cid:durableId="24598602">
    <w:abstractNumId w:val="44"/>
  </w:num>
  <w:num w:numId="30" w16cid:durableId="1733309399">
    <w:abstractNumId w:val="42"/>
  </w:num>
  <w:num w:numId="31" w16cid:durableId="1736780947">
    <w:abstractNumId w:val="31"/>
  </w:num>
  <w:num w:numId="32" w16cid:durableId="381029037">
    <w:abstractNumId w:val="24"/>
  </w:num>
  <w:num w:numId="33" w16cid:durableId="1511873833">
    <w:abstractNumId w:val="22"/>
  </w:num>
  <w:num w:numId="34" w16cid:durableId="467818045">
    <w:abstractNumId w:val="5"/>
  </w:num>
  <w:num w:numId="35" w16cid:durableId="389234014">
    <w:abstractNumId w:val="39"/>
  </w:num>
  <w:num w:numId="36" w16cid:durableId="1652439091">
    <w:abstractNumId w:val="14"/>
  </w:num>
  <w:num w:numId="37" w16cid:durableId="1187600681">
    <w:abstractNumId w:val="21"/>
  </w:num>
  <w:num w:numId="38" w16cid:durableId="2104909759">
    <w:abstractNumId w:val="43"/>
  </w:num>
  <w:num w:numId="39" w16cid:durableId="443614293">
    <w:abstractNumId w:val="34"/>
  </w:num>
  <w:num w:numId="40" w16cid:durableId="1707758919">
    <w:abstractNumId w:val="27"/>
  </w:num>
  <w:num w:numId="41" w16cid:durableId="2008240798">
    <w:abstractNumId w:val="13"/>
  </w:num>
  <w:num w:numId="42" w16cid:durableId="73550924">
    <w:abstractNumId w:val="19"/>
  </w:num>
  <w:num w:numId="43" w16cid:durableId="2079552540">
    <w:abstractNumId w:val="18"/>
  </w:num>
  <w:num w:numId="44" w16cid:durableId="236474870">
    <w:abstractNumId w:val="33"/>
  </w:num>
  <w:num w:numId="45" w16cid:durableId="3461841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6"/>
    <w:rsid w:val="00001CD7"/>
    <w:rsid w:val="00003C95"/>
    <w:rsid w:val="00005C4F"/>
    <w:rsid w:val="00006811"/>
    <w:rsid w:val="00011B6C"/>
    <w:rsid w:val="00014DD3"/>
    <w:rsid w:val="000174E5"/>
    <w:rsid w:val="0001763C"/>
    <w:rsid w:val="00020C84"/>
    <w:rsid w:val="00022CBA"/>
    <w:rsid w:val="000234B7"/>
    <w:rsid w:val="000239F9"/>
    <w:rsid w:val="00026385"/>
    <w:rsid w:val="0002697A"/>
    <w:rsid w:val="00030DBA"/>
    <w:rsid w:val="00031CF0"/>
    <w:rsid w:val="000333BB"/>
    <w:rsid w:val="00033AA9"/>
    <w:rsid w:val="00033CE3"/>
    <w:rsid w:val="000348FB"/>
    <w:rsid w:val="00034D98"/>
    <w:rsid w:val="00036279"/>
    <w:rsid w:val="00036DA3"/>
    <w:rsid w:val="00040E02"/>
    <w:rsid w:val="00065621"/>
    <w:rsid w:val="00065D23"/>
    <w:rsid w:val="0006657E"/>
    <w:rsid w:val="00066DBB"/>
    <w:rsid w:val="00066EF6"/>
    <w:rsid w:val="000671AD"/>
    <w:rsid w:val="0006743D"/>
    <w:rsid w:val="00076959"/>
    <w:rsid w:val="00076C39"/>
    <w:rsid w:val="000817F6"/>
    <w:rsid w:val="00082C60"/>
    <w:rsid w:val="000903EF"/>
    <w:rsid w:val="00093E7F"/>
    <w:rsid w:val="00096F60"/>
    <w:rsid w:val="000A16BF"/>
    <w:rsid w:val="000A1F8F"/>
    <w:rsid w:val="000A288E"/>
    <w:rsid w:val="000A30C9"/>
    <w:rsid w:val="000A3926"/>
    <w:rsid w:val="000A524A"/>
    <w:rsid w:val="000A6A84"/>
    <w:rsid w:val="000B6EA6"/>
    <w:rsid w:val="000C08BC"/>
    <w:rsid w:val="000C14F9"/>
    <w:rsid w:val="000C2C1D"/>
    <w:rsid w:val="000C496E"/>
    <w:rsid w:val="000C4CA5"/>
    <w:rsid w:val="000C742D"/>
    <w:rsid w:val="000D3CFE"/>
    <w:rsid w:val="000D41D9"/>
    <w:rsid w:val="000D5AB2"/>
    <w:rsid w:val="000D5C5C"/>
    <w:rsid w:val="000D771D"/>
    <w:rsid w:val="000D7793"/>
    <w:rsid w:val="000E1E6B"/>
    <w:rsid w:val="000E2859"/>
    <w:rsid w:val="000E33F8"/>
    <w:rsid w:val="000E5768"/>
    <w:rsid w:val="000E61A7"/>
    <w:rsid w:val="000E6956"/>
    <w:rsid w:val="000E73C9"/>
    <w:rsid w:val="000F11E1"/>
    <w:rsid w:val="000F1593"/>
    <w:rsid w:val="00103424"/>
    <w:rsid w:val="00104AA2"/>
    <w:rsid w:val="00107F55"/>
    <w:rsid w:val="00110CFD"/>
    <w:rsid w:val="0011105B"/>
    <w:rsid w:val="00112E9E"/>
    <w:rsid w:val="00112FA1"/>
    <w:rsid w:val="00113E67"/>
    <w:rsid w:val="00116A94"/>
    <w:rsid w:val="00121AD7"/>
    <w:rsid w:val="00122163"/>
    <w:rsid w:val="001221C1"/>
    <w:rsid w:val="0012369F"/>
    <w:rsid w:val="001236CE"/>
    <w:rsid w:val="00124B43"/>
    <w:rsid w:val="00127852"/>
    <w:rsid w:val="001315BB"/>
    <w:rsid w:val="00134574"/>
    <w:rsid w:val="001375E6"/>
    <w:rsid w:val="00137B63"/>
    <w:rsid w:val="001425BD"/>
    <w:rsid w:val="0014640D"/>
    <w:rsid w:val="001475C2"/>
    <w:rsid w:val="0015005F"/>
    <w:rsid w:val="00153B79"/>
    <w:rsid w:val="00153DCD"/>
    <w:rsid w:val="001540B9"/>
    <w:rsid w:val="00154F6B"/>
    <w:rsid w:val="00164728"/>
    <w:rsid w:val="0016626A"/>
    <w:rsid w:val="00171589"/>
    <w:rsid w:val="00175311"/>
    <w:rsid w:val="0017664F"/>
    <w:rsid w:val="00180E79"/>
    <w:rsid w:val="00183FF9"/>
    <w:rsid w:val="00184D27"/>
    <w:rsid w:val="00186C86"/>
    <w:rsid w:val="00192A26"/>
    <w:rsid w:val="001A03F4"/>
    <w:rsid w:val="001A1B2D"/>
    <w:rsid w:val="001A3371"/>
    <w:rsid w:val="001A5EAA"/>
    <w:rsid w:val="001A7D8B"/>
    <w:rsid w:val="001B0FD6"/>
    <w:rsid w:val="001B1242"/>
    <w:rsid w:val="001B2EDA"/>
    <w:rsid w:val="001B7E70"/>
    <w:rsid w:val="001C3C33"/>
    <w:rsid w:val="001C3F5E"/>
    <w:rsid w:val="001C66A1"/>
    <w:rsid w:val="001D0087"/>
    <w:rsid w:val="001D090D"/>
    <w:rsid w:val="001D6CA9"/>
    <w:rsid w:val="001D7AEE"/>
    <w:rsid w:val="001E0421"/>
    <w:rsid w:val="001E110F"/>
    <w:rsid w:val="001E1B7D"/>
    <w:rsid w:val="001F00FD"/>
    <w:rsid w:val="001F05CF"/>
    <w:rsid w:val="001F4FDD"/>
    <w:rsid w:val="001F548F"/>
    <w:rsid w:val="001F75D9"/>
    <w:rsid w:val="00201000"/>
    <w:rsid w:val="00201AA3"/>
    <w:rsid w:val="002028E7"/>
    <w:rsid w:val="00202B2C"/>
    <w:rsid w:val="002035EB"/>
    <w:rsid w:val="00203D7B"/>
    <w:rsid w:val="00204E59"/>
    <w:rsid w:val="002051E8"/>
    <w:rsid w:val="00206C27"/>
    <w:rsid w:val="00207D7D"/>
    <w:rsid w:val="00210258"/>
    <w:rsid w:val="0021166B"/>
    <w:rsid w:val="0021217F"/>
    <w:rsid w:val="002126CE"/>
    <w:rsid w:val="002127A6"/>
    <w:rsid w:val="00212C61"/>
    <w:rsid w:val="002231C6"/>
    <w:rsid w:val="00225281"/>
    <w:rsid w:val="002303A6"/>
    <w:rsid w:val="00230CE0"/>
    <w:rsid w:val="00232B6C"/>
    <w:rsid w:val="0023309F"/>
    <w:rsid w:val="00233476"/>
    <w:rsid w:val="00235F67"/>
    <w:rsid w:val="00236177"/>
    <w:rsid w:val="00236271"/>
    <w:rsid w:val="0024181A"/>
    <w:rsid w:val="00243455"/>
    <w:rsid w:val="00243DA4"/>
    <w:rsid w:val="00247F0B"/>
    <w:rsid w:val="00251D3E"/>
    <w:rsid w:val="00254559"/>
    <w:rsid w:val="00255BF7"/>
    <w:rsid w:val="002565E0"/>
    <w:rsid w:val="00257337"/>
    <w:rsid w:val="002579D2"/>
    <w:rsid w:val="00262897"/>
    <w:rsid w:val="002636AB"/>
    <w:rsid w:val="00264ACF"/>
    <w:rsid w:val="002706A2"/>
    <w:rsid w:val="00270A16"/>
    <w:rsid w:val="002710D4"/>
    <w:rsid w:val="00272410"/>
    <w:rsid w:val="002740C1"/>
    <w:rsid w:val="00275378"/>
    <w:rsid w:val="00276513"/>
    <w:rsid w:val="00277083"/>
    <w:rsid w:val="00277CB7"/>
    <w:rsid w:val="002810EF"/>
    <w:rsid w:val="002839F8"/>
    <w:rsid w:val="00284889"/>
    <w:rsid w:val="00287AC3"/>
    <w:rsid w:val="00291A58"/>
    <w:rsid w:val="00291D9B"/>
    <w:rsid w:val="00293620"/>
    <w:rsid w:val="0029469B"/>
    <w:rsid w:val="00297312"/>
    <w:rsid w:val="002A0060"/>
    <w:rsid w:val="002A0695"/>
    <w:rsid w:val="002A105A"/>
    <w:rsid w:val="002A4F19"/>
    <w:rsid w:val="002A6749"/>
    <w:rsid w:val="002A68ED"/>
    <w:rsid w:val="002B18AA"/>
    <w:rsid w:val="002B19EE"/>
    <w:rsid w:val="002B63FF"/>
    <w:rsid w:val="002C2AF1"/>
    <w:rsid w:val="002C3997"/>
    <w:rsid w:val="002C41A3"/>
    <w:rsid w:val="002C458F"/>
    <w:rsid w:val="002C57D9"/>
    <w:rsid w:val="002C6F1B"/>
    <w:rsid w:val="002D28B2"/>
    <w:rsid w:val="002D386F"/>
    <w:rsid w:val="002D4F92"/>
    <w:rsid w:val="002D51E1"/>
    <w:rsid w:val="002D5598"/>
    <w:rsid w:val="002E0D7B"/>
    <w:rsid w:val="002E6F2D"/>
    <w:rsid w:val="002F036D"/>
    <w:rsid w:val="002F1607"/>
    <w:rsid w:val="002F20E8"/>
    <w:rsid w:val="002F2738"/>
    <w:rsid w:val="002F2B10"/>
    <w:rsid w:val="00300638"/>
    <w:rsid w:val="00301445"/>
    <w:rsid w:val="00302F93"/>
    <w:rsid w:val="003039EC"/>
    <w:rsid w:val="00303A71"/>
    <w:rsid w:val="00303AD6"/>
    <w:rsid w:val="0030447F"/>
    <w:rsid w:val="00310757"/>
    <w:rsid w:val="00312155"/>
    <w:rsid w:val="00316E69"/>
    <w:rsid w:val="0032193A"/>
    <w:rsid w:val="00321B06"/>
    <w:rsid w:val="00322F6B"/>
    <w:rsid w:val="00326003"/>
    <w:rsid w:val="00330983"/>
    <w:rsid w:val="00333AC4"/>
    <w:rsid w:val="003342C9"/>
    <w:rsid w:val="00334BBC"/>
    <w:rsid w:val="0033569E"/>
    <w:rsid w:val="0033725F"/>
    <w:rsid w:val="00347994"/>
    <w:rsid w:val="003505A2"/>
    <w:rsid w:val="0035174E"/>
    <w:rsid w:val="00351F54"/>
    <w:rsid w:val="00352017"/>
    <w:rsid w:val="00353F8B"/>
    <w:rsid w:val="00355200"/>
    <w:rsid w:val="00356501"/>
    <w:rsid w:val="00361703"/>
    <w:rsid w:val="003715AD"/>
    <w:rsid w:val="003717CD"/>
    <w:rsid w:val="00374F24"/>
    <w:rsid w:val="0038175E"/>
    <w:rsid w:val="00381AAB"/>
    <w:rsid w:val="00382040"/>
    <w:rsid w:val="00383F28"/>
    <w:rsid w:val="00383FAF"/>
    <w:rsid w:val="00387A29"/>
    <w:rsid w:val="00387E2E"/>
    <w:rsid w:val="00394C3F"/>
    <w:rsid w:val="00394C73"/>
    <w:rsid w:val="003951F8"/>
    <w:rsid w:val="0039585D"/>
    <w:rsid w:val="00397058"/>
    <w:rsid w:val="003A0570"/>
    <w:rsid w:val="003A1061"/>
    <w:rsid w:val="003A1987"/>
    <w:rsid w:val="003A76CE"/>
    <w:rsid w:val="003B16F0"/>
    <w:rsid w:val="003B2A59"/>
    <w:rsid w:val="003B3592"/>
    <w:rsid w:val="003B74ED"/>
    <w:rsid w:val="003B7607"/>
    <w:rsid w:val="003C04D8"/>
    <w:rsid w:val="003C2540"/>
    <w:rsid w:val="003C4AF2"/>
    <w:rsid w:val="003C5103"/>
    <w:rsid w:val="003C7018"/>
    <w:rsid w:val="003C7821"/>
    <w:rsid w:val="003D12E7"/>
    <w:rsid w:val="003D1E23"/>
    <w:rsid w:val="003D20B3"/>
    <w:rsid w:val="003D40D9"/>
    <w:rsid w:val="003D5DA0"/>
    <w:rsid w:val="003D681A"/>
    <w:rsid w:val="003F22C9"/>
    <w:rsid w:val="003F2D9F"/>
    <w:rsid w:val="003F45EC"/>
    <w:rsid w:val="003F568C"/>
    <w:rsid w:val="0040664D"/>
    <w:rsid w:val="00407630"/>
    <w:rsid w:val="0041054F"/>
    <w:rsid w:val="004118E2"/>
    <w:rsid w:val="00412269"/>
    <w:rsid w:val="004126E8"/>
    <w:rsid w:val="00412C9E"/>
    <w:rsid w:val="00413D21"/>
    <w:rsid w:val="00416A0F"/>
    <w:rsid w:val="00416F82"/>
    <w:rsid w:val="004177FB"/>
    <w:rsid w:val="00417867"/>
    <w:rsid w:val="004219F5"/>
    <w:rsid w:val="00426CC7"/>
    <w:rsid w:val="00430361"/>
    <w:rsid w:val="0043242F"/>
    <w:rsid w:val="004355BC"/>
    <w:rsid w:val="00437566"/>
    <w:rsid w:val="004377FA"/>
    <w:rsid w:val="004405AE"/>
    <w:rsid w:val="00443818"/>
    <w:rsid w:val="00444517"/>
    <w:rsid w:val="004523AD"/>
    <w:rsid w:val="00452EC2"/>
    <w:rsid w:val="0045482D"/>
    <w:rsid w:val="00455042"/>
    <w:rsid w:val="004550AF"/>
    <w:rsid w:val="00455250"/>
    <w:rsid w:val="0045642C"/>
    <w:rsid w:val="00456B87"/>
    <w:rsid w:val="00457820"/>
    <w:rsid w:val="00457F0E"/>
    <w:rsid w:val="004623F3"/>
    <w:rsid w:val="00475942"/>
    <w:rsid w:val="0048235D"/>
    <w:rsid w:val="00483580"/>
    <w:rsid w:val="00484F91"/>
    <w:rsid w:val="00486158"/>
    <w:rsid w:val="0049250B"/>
    <w:rsid w:val="00494267"/>
    <w:rsid w:val="00495596"/>
    <w:rsid w:val="00497C1E"/>
    <w:rsid w:val="004A04A4"/>
    <w:rsid w:val="004A6E6A"/>
    <w:rsid w:val="004B0E95"/>
    <w:rsid w:val="004B32F0"/>
    <w:rsid w:val="004B3CFC"/>
    <w:rsid w:val="004B43C0"/>
    <w:rsid w:val="004C088C"/>
    <w:rsid w:val="004C0BF6"/>
    <w:rsid w:val="004C5748"/>
    <w:rsid w:val="004D2B1C"/>
    <w:rsid w:val="004D3199"/>
    <w:rsid w:val="004D3E04"/>
    <w:rsid w:val="004E608E"/>
    <w:rsid w:val="004E6703"/>
    <w:rsid w:val="004F3107"/>
    <w:rsid w:val="004F4FDC"/>
    <w:rsid w:val="004F524A"/>
    <w:rsid w:val="004F634E"/>
    <w:rsid w:val="004F7755"/>
    <w:rsid w:val="005047AD"/>
    <w:rsid w:val="005050D8"/>
    <w:rsid w:val="00505CCE"/>
    <w:rsid w:val="00512984"/>
    <w:rsid w:val="005149AF"/>
    <w:rsid w:val="00515584"/>
    <w:rsid w:val="005170AD"/>
    <w:rsid w:val="0052133E"/>
    <w:rsid w:val="00521DAF"/>
    <w:rsid w:val="00522777"/>
    <w:rsid w:val="00525032"/>
    <w:rsid w:val="00525421"/>
    <w:rsid w:val="005416A3"/>
    <w:rsid w:val="00543626"/>
    <w:rsid w:val="005452DD"/>
    <w:rsid w:val="005530D5"/>
    <w:rsid w:val="005551C4"/>
    <w:rsid w:val="005568AF"/>
    <w:rsid w:val="00557431"/>
    <w:rsid w:val="00557D31"/>
    <w:rsid w:val="0056014E"/>
    <w:rsid w:val="0056065D"/>
    <w:rsid w:val="005631DA"/>
    <w:rsid w:val="00563222"/>
    <w:rsid w:val="005634A5"/>
    <w:rsid w:val="005642A0"/>
    <w:rsid w:val="00566275"/>
    <w:rsid w:val="00570C2E"/>
    <w:rsid w:val="00571101"/>
    <w:rsid w:val="00574240"/>
    <w:rsid w:val="00575768"/>
    <w:rsid w:val="005828F0"/>
    <w:rsid w:val="00586299"/>
    <w:rsid w:val="00590E8C"/>
    <w:rsid w:val="00590F39"/>
    <w:rsid w:val="00592AED"/>
    <w:rsid w:val="0059332C"/>
    <w:rsid w:val="005A1B28"/>
    <w:rsid w:val="005A406D"/>
    <w:rsid w:val="005B3B32"/>
    <w:rsid w:val="005B3C9F"/>
    <w:rsid w:val="005B4506"/>
    <w:rsid w:val="005C0383"/>
    <w:rsid w:val="005C33AB"/>
    <w:rsid w:val="005C3647"/>
    <w:rsid w:val="005C7429"/>
    <w:rsid w:val="005C773E"/>
    <w:rsid w:val="005D3D10"/>
    <w:rsid w:val="005D7EEB"/>
    <w:rsid w:val="005E08D9"/>
    <w:rsid w:val="005E4982"/>
    <w:rsid w:val="005F4B93"/>
    <w:rsid w:val="005F62A3"/>
    <w:rsid w:val="00600E92"/>
    <w:rsid w:val="00601882"/>
    <w:rsid w:val="00601883"/>
    <w:rsid w:val="00601F03"/>
    <w:rsid w:val="00602669"/>
    <w:rsid w:val="00602E61"/>
    <w:rsid w:val="00606B4C"/>
    <w:rsid w:val="00607807"/>
    <w:rsid w:val="0061002F"/>
    <w:rsid w:val="006105B7"/>
    <w:rsid w:val="006133DA"/>
    <w:rsid w:val="006146EE"/>
    <w:rsid w:val="00614D23"/>
    <w:rsid w:val="006151A9"/>
    <w:rsid w:val="0061689C"/>
    <w:rsid w:val="006240DB"/>
    <w:rsid w:val="00625C4B"/>
    <w:rsid w:val="006305B3"/>
    <w:rsid w:val="00630ECF"/>
    <w:rsid w:val="0063135D"/>
    <w:rsid w:val="0063287C"/>
    <w:rsid w:val="0063479D"/>
    <w:rsid w:val="006458E4"/>
    <w:rsid w:val="00646790"/>
    <w:rsid w:val="0065015B"/>
    <w:rsid w:val="0065164A"/>
    <w:rsid w:val="00651C76"/>
    <w:rsid w:val="00655484"/>
    <w:rsid w:val="00656DA3"/>
    <w:rsid w:val="0065730C"/>
    <w:rsid w:val="006578FA"/>
    <w:rsid w:val="006603D0"/>
    <w:rsid w:val="0066411B"/>
    <w:rsid w:val="00664C13"/>
    <w:rsid w:val="00670756"/>
    <w:rsid w:val="006709EB"/>
    <w:rsid w:val="00670EE8"/>
    <w:rsid w:val="00672E26"/>
    <w:rsid w:val="00673222"/>
    <w:rsid w:val="00675EE1"/>
    <w:rsid w:val="00681D1A"/>
    <w:rsid w:val="00685C34"/>
    <w:rsid w:val="0068697B"/>
    <w:rsid w:val="0069476C"/>
    <w:rsid w:val="0069537E"/>
    <w:rsid w:val="00697531"/>
    <w:rsid w:val="006A3BEF"/>
    <w:rsid w:val="006A60A8"/>
    <w:rsid w:val="006A6A19"/>
    <w:rsid w:val="006A739B"/>
    <w:rsid w:val="006A74C0"/>
    <w:rsid w:val="006C0412"/>
    <w:rsid w:val="006C164D"/>
    <w:rsid w:val="006C2D9B"/>
    <w:rsid w:val="006C6D9E"/>
    <w:rsid w:val="006D0F3C"/>
    <w:rsid w:val="006D1FC5"/>
    <w:rsid w:val="006D3D8C"/>
    <w:rsid w:val="006D412A"/>
    <w:rsid w:val="006D5733"/>
    <w:rsid w:val="006E07B0"/>
    <w:rsid w:val="006E3D3C"/>
    <w:rsid w:val="006E57CA"/>
    <w:rsid w:val="006E7D29"/>
    <w:rsid w:val="006F01DD"/>
    <w:rsid w:val="006F0483"/>
    <w:rsid w:val="006F6C41"/>
    <w:rsid w:val="007010B5"/>
    <w:rsid w:val="007034C7"/>
    <w:rsid w:val="00704FDC"/>
    <w:rsid w:val="00706F8A"/>
    <w:rsid w:val="00707446"/>
    <w:rsid w:val="00707840"/>
    <w:rsid w:val="00710B06"/>
    <w:rsid w:val="00710B63"/>
    <w:rsid w:val="00712292"/>
    <w:rsid w:val="00712B67"/>
    <w:rsid w:val="00724A9B"/>
    <w:rsid w:val="00726E7C"/>
    <w:rsid w:val="007317F5"/>
    <w:rsid w:val="00735BEF"/>
    <w:rsid w:val="007372AC"/>
    <w:rsid w:val="007404DC"/>
    <w:rsid w:val="00740FE9"/>
    <w:rsid w:val="0074193E"/>
    <w:rsid w:val="00741DE7"/>
    <w:rsid w:val="0074223D"/>
    <w:rsid w:val="00750048"/>
    <w:rsid w:val="00750CA8"/>
    <w:rsid w:val="00751ADF"/>
    <w:rsid w:val="00754EDA"/>
    <w:rsid w:val="007562DB"/>
    <w:rsid w:val="00757AC4"/>
    <w:rsid w:val="00761B9D"/>
    <w:rsid w:val="00762002"/>
    <w:rsid w:val="007643A7"/>
    <w:rsid w:val="00764BEC"/>
    <w:rsid w:val="00771799"/>
    <w:rsid w:val="007726BD"/>
    <w:rsid w:val="00773C9E"/>
    <w:rsid w:val="00776232"/>
    <w:rsid w:val="00781EE6"/>
    <w:rsid w:val="00784615"/>
    <w:rsid w:val="00786B86"/>
    <w:rsid w:val="007910C7"/>
    <w:rsid w:val="00792EF7"/>
    <w:rsid w:val="007A11F3"/>
    <w:rsid w:val="007B1329"/>
    <w:rsid w:val="007B36A9"/>
    <w:rsid w:val="007B74FD"/>
    <w:rsid w:val="007C2492"/>
    <w:rsid w:val="007C6269"/>
    <w:rsid w:val="007C7CAB"/>
    <w:rsid w:val="007D06B6"/>
    <w:rsid w:val="007D0FA9"/>
    <w:rsid w:val="007D61EC"/>
    <w:rsid w:val="007D7246"/>
    <w:rsid w:val="007E0135"/>
    <w:rsid w:val="007E179B"/>
    <w:rsid w:val="007F5CFA"/>
    <w:rsid w:val="007F6440"/>
    <w:rsid w:val="008005A0"/>
    <w:rsid w:val="00800AB4"/>
    <w:rsid w:val="00800E7D"/>
    <w:rsid w:val="0080104F"/>
    <w:rsid w:val="00802382"/>
    <w:rsid w:val="008028F7"/>
    <w:rsid w:val="00803CF9"/>
    <w:rsid w:val="00803FA3"/>
    <w:rsid w:val="00806186"/>
    <w:rsid w:val="00807966"/>
    <w:rsid w:val="00812C9F"/>
    <w:rsid w:val="00817093"/>
    <w:rsid w:val="0082403E"/>
    <w:rsid w:val="008255E9"/>
    <w:rsid w:val="00831179"/>
    <w:rsid w:val="0083648F"/>
    <w:rsid w:val="0084130E"/>
    <w:rsid w:val="00841718"/>
    <w:rsid w:val="0084546A"/>
    <w:rsid w:val="00845F00"/>
    <w:rsid w:val="00846FAA"/>
    <w:rsid w:val="00847282"/>
    <w:rsid w:val="00851961"/>
    <w:rsid w:val="00852119"/>
    <w:rsid w:val="00852323"/>
    <w:rsid w:val="00852818"/>
    <w:rsid w:val="00852D32"/>
    <w:rsid w:val="00852DE6"/>
    <w:rsid w:val="00852F32"/>
    <w:rsid w:val="0085491E"/>
    <w:rsid w:val="00857C46"/>
    <w:rsid w:val="008602DC"/>
    <w:rsid w:val="008619CE"/>
    <w:rsid w:val="008624A7"/>
    <w:rsid w:val="00865EF3"/>
    <w:rsid w:val="00865F8C"/>
    <w:rsid w:val="00873854"/>
    <w:rsid w:val="008800E7"/>
    <w:rsid w:val="00884FD2"/>
    <w:rsid w:val="00890207"/>
    <w:rsid w:val="00891F17"/>
    <w:rsid w:val="0089340A"/>
    <w:rsid w:val="00894012"/>
    <w:rsid w:val="00895F85"/>
    <w:rsid w:val="00897E55"/>
    <w:rsid w:val="008A1816"/>
    <w:rsid w:val="008A57CA"/>
    <w:rsid w:val="008A7C78"/>
    <w:rsid w:val="008A7D48"/>
    <w:rsid w:val="008B2A4D"/>
    <w:rsid w:val="008B3792"/>
    <w:rsid w:val="008B6A43"/>
    <w:rsid w:val="008B7476"/>
    <w:rsid w:val="008B752D"/>
    <w:rsid w:val="008C1CC5"/>
    <w:rsid w:val="008C3E54"/>
    <w:rsid w:val="008C6E47"/>
    <w:rsid w:val="008C6FBB"/>
    <w:rsid w:val="008D03BE"/>
    <w:rsid w:val="008D41DA"/>
    <w:rsid w:val="008D4239"/>
    <w:rsid w:val="008D5327"/>
    <w:rsid w:val="008D5A63"/>
    <w:rsid w:val="008D6497"/>
    <w:rsid w:val="008E0481"/>
    <w:rsid w:val="008E31C6"/>
    <w:rsid w:val="008E7809"/>
    <w:rsid w:val="008F0347"/>
    <w:rsid w:val="008F1EE9"/>
    <w:rsid w:val="008F235F"/>
    <w:rsid w:val="008F25FE"/>
    <w:rsid w:val="008F36E6"/>
    <w:rsid w:val="008F3836"/>
    <w:rsid w:val="008F49DA"/>
    <w:rsid w:val="008F6F86"/>
    <w:rsid w:val="009058A7"/>
    <w:rsid w:val="00906F48"/>
    <w:rsid w:val="0090707F"/>
    <w:rsid w:val="00912FE2"/>
    <w:rsid w:val="009139B1"/>
    <w:rsid w:val="0091498A"/>
    <w:rsid w:val="00917939"/>
    <w:rsid w:val="00921224"/>
    <w:rsid w:val="00921591"/>
    <w:rsid w:val="0092213D"/>
    <w:rsid w:val="00926231"/>
    <w:rsid w:val="00926369"/>
    <w:rsid w:val="0093051C"/>
    <w:rsid w:val="00933C37"/>
    <w:rsid w:val="00934DCB"/>
    <w:rsid w:val="00943DA7"/>
    <w:rsid w:val="009471C8"/>
    <w:rsid w:val="00947D70"/>
    <w:rsid w:val="009568D1"/>
    <w:rsid w:val="00961510"/>
    <w:rsid w:val="009635B2"/>
    <w:rsid w:val="00966026"/>
    <w:rsid w:val="009668E2"/>
    <w:rsid w:val="0096693C"/>
    <w:rsid w:val="00967D5C"/>
    <w:rsid w:val="00970A4C"/>
    <w:rsid w:val="00970C65"/>
    <w:rsid w:val="009766DB"/>
    <w:rsid w:val="009801BA"/>
    <w:rsid w:val="0098075A"/>
    <w:rsid w:val="00982255"/>
    <w:rsid w:val="0098352F"/>
    <w:rsid w:val="0098445F"/>
    <w:rsid w:val="00991918"/>
    <w:rsid w:val="0099252B"/>
    <w:rsid w:val="00992A5B"/>
    <w:rsid w:val="00993563"/>
    <w:rsid w:val="009952AE"/>
    <w:rsid w:val="0099710A"/>
    <w:rsid w:val="00997D41"/>
    <w:rsid w:val="009A091F"/>
    <w:rsid w:val="009A0B17"/>
    <w:rsid w:val="009A2A6A"/>
    <w:rsid w:val="009A5244"/>
    <w:rsid w:val="009A70C4"/>
    <w:rsid w:val="009B00DE"/>
    <w:rsid w:val="009B0595"/>
    <w:rsid w:val="009B239C"/>
    <w:rsid w:val="009B2F6F"/>
    <w:rsid w:val="009C3BA9"/>
    <w:rsid w:val="009D0BED"/>
    <w:rsid w:val="009D3D65"/>
    <w:rsid w:val="009D3EDE"/>
    <w:rsid w:val="009D7450"/>
    <w:rsid w:val="009E6683"/>
    <w:rsid w:val="009F105F"/>
    <w:rsid w:val="009F2F4A"/>
    <w:rsid w:val="009F54F8"/>
    <w:rsid w:val="009F5BE0"/>
    <w:rsid w:val="00A00D85"/>
    <w:rsid w:val="00A0208A"/>
    <w:rsid w:val="00A10F48"/>
    <w:rsid w:val="00A12621"/>
    <w:rsid w:val="00A14C74"/>
    <w:rsid w:val="00A17330"/>
    <w:rsid w:val="00A20FA3"/>
    <w:rsid w:val="00A22EA6"/>
    <w:rsid w:val="00A25470"/>
    <w:rsid w:val="00A254D0"/>
    <w:rsid w:val="00A258D8"/>
    <w:rsid w:val="00A25AFC"/>
    <w:rsid w:val="00A26912"/>
    <w:rsid w:val="00A26F4C"/>
    <w:rsid w:val="00A30112"/>
    <w:rsid w:val="00A30C1E"/>
    <w:rsid w:val="00A36459"/>
    <w:rsid w:val="00A366A7"/>
    <w:rsid w:val="00A374E4"/>
    <w:rsid w:val="00A403E8"/>
    <w:rsid w:val="00A4082A"/>
    <w:rsid w:val="00A4757D"/>
    <w:rsid w:val="00A47FA2"/>
    <w:rsid w:val="00A52185"/>
    <w:rsid w:val="00A65FC5"/>
    <w:rsid w:val="00A66E0C"/>
    <w:rsid w:val="00A66F72"/>
    <w:rsid w:val="00A67DFC"/>
    <w:rsid w:val="00A70A33"/>
    <w:rsid w:val="00A735F9"/>
    <w:rsid w:val="00A75C07"/>
    <w:rsid w:val="00A77F01"/>
    <w:rsid w:val="00A82077"/>
    <w:rsid w:val="00A8567C"/>
    <w:rsid w:val="00A87755"/>
    <w:rsid w:val="00A91702"/>
    <w:rsid w:val="00A91FD1"/>
    <w:rsid w:val="00A929A0"/>
    <w:rsid w:val="00A93E82"/>
    <w:rsid w:val="00A94E44"/>
    <w:rsid w:val="00A97F18"/>
    <w:rsid w:val="00AA14A4"/>
    <w:rsid w:val="00AA2FC7"/>
    <w:rsid w:val="00AA3A2A"/>
    <w:rsid w:val="00AA565D"/>
    <w:rsid w:val="00AA770E"/>
    <w:rsid w:val="00AB0B61"/>
    <w:rsid w:val="00AB0BAB"/>
    <w:rsid w:val="00AB3617"/>
    <w:rsid w:val="00AB48FA"/>
    <w:rsid w:val="00AB5983"/>
    <w:rsid w:val="00AB74C8"/>
    <w:rsid w:val="00AB7B25"/>
    <w:rsid w:val="00AC01BC"/>
    <w:rsid w:val="00AC3CE7"/>
    <w:rsid w:val="00AC4B83"/>
    <w:rsid w:val="00AC5ED3"/>
    <w:rsid w:val="00AC6A5D"/>
    <w:rsid w:val="00AD07D0"/>
    <w:rsid w:val="00AD124F"/>
    <w:rsid w:val="00AD1D73"/>
    <w:rsid w:val="00AD311E"/>
    <w:rsid w:val="00AD3E4B"/>
    <w:rsid w:val="00AD42E4"/>
    <w:rsid w:val="00AD45E0"/>
    <w:rsid w:val="00AD545C"/>
    <w:rsid w:val="00AD5B95"/>
    <w:rsid w:val="00AD6D33"/>
    <w:rsid w:val="00AD7C51"/>
    <w:rsid w:val="00AE0B31"/>
    <w:rsid w:val="00AE3916"/>
    <w:rsid w:val="00AE4735"/>
    <w:rsid w:val="00AF2D3A"/>
    <w:rsid w:val="00AF3E0E"/>
    <w:rsid w:val="00AF606C"/>
    <w:rsid w:val="00AF6218"/>
    <w:rsid w:val="00AF7FC1"/>
    <w:rsid w:val="00B02469"/>
    <w:rsid w:val="00B02748"/>
    <w:rsid w:val="00B0718D"/>
    <w:rsid w:val="00B10483"/>
    <w:rsid w:val="00B11C6C"/>
    <w:rsid w:val="00B123F0"/>
    <w:rsid w:val="00B22C69"/>
    <w:rsid w:val="00B250B3"/>
    <w:rsid w:val="00B2571F"/>
    <w:rsid w:val="00B27467"/>
    <w:rsid w:val="00B329D8"/>
    <w:rsid w:val="00B4080C"/>
    <w:rsid w:val="00B41C45"/>
    <w:rsid w:val="00B43B91"/>
    <w:rsid w:val="00B456A5"/>
    <w:rsid w:val="00B45A9E"/>
    <w:rsid w:val="00B46422"/>
    <w:rsid w:val="00B47EAD"/>
    <w:rsid w:val="00B50F67"/>
    <w:rsid w:val="00B531AA"/>
    <w:rsid w:val="00B547D3"/>
    <w:rsid w:val="00B611E4"/>
    <w:rsid w:val="00B61C7C"/>
    <w:rsid w:val="00B630BA"/>
    <w:rsid w:val="00B64C48"/>
    <w:rsid w:val="00B6762D"/>
    <w:rsid w:val="00B67B3B"/>
    <w:rsid w:val="00B70A17"/>
    <w:rsid w:val="00B724BA"/>
    <w:rsid w:val="00B72BCF"/>
    <w:rsid w:val="00B72CAA"/>
    <w:rsid w:val="00B73B45"/>
    <w:rsid w:val="00B76815"/>
    <w:rsid w:val="00B82ADF"/>
    <w:rsid w:val="00B82C2B"/>
    <w:rsid w:val="00B85808"/>
    <w:rsid w:val="00B868F8"/>
    <w:rsid w:val="00B874DD"/>
    <w:rsid w:val="00B92181"/>
    <w:rsid w:val="00B9532E"/>
    <w:rsid w:val="00B97C85"/>
    <w:rsid w:val="00BA1049"/>
    <w:rsid w:val="00BA2325"/>
    <w:rsid w:val="00BA66A6"/>
    <w:rsid w:val="00BB1C88"/>
    <w:rsid w:val="00BB2C15"/>
    <w:rsid w:val="00BB36B0"/>
    <w:rsid w:val="00BB7331"/>
    <w:rsid w:val="00BC03B3"/>
    <w:rsid w:val="00BC5093"/>
    <w:rsid w:val="00BC545E"/>
    <w:rsid w:val="00BD19F2"/>
    <w:rsid w:val="00BD2B54"/>
    <w:rsid w:val="00BD5544"/>
    <w:rsid w:val="00BD75C2"/>
    <w:rsid w:val="00BE3643"/>
    <w:rsid w:val="00BE3DD5"/>
    <w:rsid w:val="00BE5EEB"/>
    <w:rsid w:val="00BE6E22"/>
    <w:rsid w:val="00BE7082"/>
    <w:rsid w:val="00BE72E3"/>
    <w:rsid w:val="00BF14F6"/>
    <w:rsid w:val="00BF1864"/>
    <w:rsid w:val="00BF1B54"/>
    <w:rsid w:val="00BF2031"/>
    <w:rsid w:val="00BF2812"/>
    <w:rsid w:val="00BF2FDC"/>
    <w:rsid w:val="00BF4303"/>
    <w:rsid w:val="00BF439F"/>
    <w:rsid w:val="00C01666"/>
    <w:rsid w:val="00C04BFC"/>
    <w:rsid w:val="00C04E01"/>
    <w:rsid w:val="00C16486"/>
    <w:rsid w:val="00C20141"/>
    <w:rsid w:val="00C209FC"/>
    <w:rsid w:val="00C20EE9"/>
    <w:rsid w:val="00C21706"/>
    <w:rsid w:val="00C224F0"/>
    <w:rsid w:val="00C27EC4"/>
    <w:rsid w:val="00C32D33"/>
    <w:rsid w:val="00C32E7B"/>
    <w:rsid w:val="00C356C5"/>
    <w:rsid w:val="00C40A8E"/>
    <w:rsid w:val="00C4257E"/>
    <w:rsid w:val="00C43009"/>
    <w:rsid w:val="00C51B3B"/>
    <w:rsid w:val="00C51BBE"/>
    <w:rsid w:val="00C52CF1"/>
    <w:rsid w:val="00C52E40"/>
    <w:rsid w:val="00C53F48"/>
    <w:rsid w:val="00C55ABF"/>
    <w:rsid w:val="00C56D31"/>
    <w:rsid w:val="00C57775"/>
    <w:rsid w:val="00C65FAD"/>
    <w:rsid w:val="00C6726C"/>
    <w:rsid w:val="00C749FA"/>
    <w:rsid w:val="00C74E55"/>
    <w:rsid w:val="00C771D4"/>
    <w:rsid w:val="00C85A63"/>
    <w:rsid w:val="00C860C4"/>
    <w:rsid w:val="00C86ECD"/>
    <w:rsid w:val="00C87725"/>
    <w:rsid w:val="00C87B3B"/>
    <w:rsid w:val="00C87BE6"/>
    <w:rsid w:val="00C9279E"/>
    <w:rsid w:val="00C92932"/>
    <w:rsid w:val="00C95293"/>
    <w:rsid w:val="00C95F9E"/>
    <w:rsid w:val="00CA092A"/>
    <w:rsid w:val="00CA2EBE"/>
    <w:rsid w:val="00CA42D4"/>
    <w:rsid w:val="00CA5AB8"/>
    <w:rsid w:val="00CA5FF0"/>
    <w:rsid w:val="00CB21C1"/>
    <w:rsid w:val="00CB5E05"/>
    <w:rsid w:val="00CC29CF"/>
    <w:rsid w:val="00CC2AC1"/>
    <w:rsid w:val="00CC2ACA"/>
    <w:rsid w:val="00CC7B64"/>
    <w:rsid w:val="00CC7EFA"/>
    <w:rsid w:val="00CD057C"/>
    <w:rsid w:val="00CD1B36"/>
    <w:rsid w:val="00CD34A5"/>
    <w:rsid w:val="00CD3BC6"/>
    <w:rsid w:val="00CD6E96"/>
    <w:rsid w:val="00CD7422"/>
    <w:rsid w:val="00CE0800"/>
    <w:rsid w:val="00CE1519"/>
    <w:rsid w:val="00CE1536"/>
    <w:rsid w:val="00CE339F"/>
    <w:rsid w:val="00CF5B59"/>
    <w:rsid w:val="00CF696A"/>
    <w:rsid w:val="00D02C10"/>
    <w:rsid w:val="00D077A3"/>
    <w:rsid w:val="00D14AF3"/>
    <w:rsid w:val="00D2282A"/>
    <w:rsid w:val="00D242E6"/>
    <w:rsid w:val="00D3340F"/>
    <w:rsid w:val="00D340F2"/>
    <w:rsid w:val="00D3505A"/>
    <w:rsid w:val="00D36B0A"/>
    <w:rsid w:val="00D41642"/>
    <w:rsid w:val="00D44DB3"/>
    <w:rsid w:val="00D46430"/>
    <w:rsid w:val="00D52D11"/>
    <w:rsid w:val="00D55573"/>
    <w:rsid w:val="00D55590"/>
    <w:rsid w:val="00D555DA"/>
    <w:rsid w:val="00D555EE"/>
    <w:rsid w:val="00D60AA2"/>
    <w:rsid w:val="00D60C22"/>
    <w:rsid w:val="00D612D9"/>
    <w:rsid w:val="00D61E68"/>
    <w:rsid w:val="00D629A4"/>
    <w:rsid w:val="00D6482E"/>
    <w:rsid w:val="00D71827"/>
    <w:rsid w:val="00D71D18"/>
    <w:rsid w:val="00D71F77"/>
    <w:rsid w:val="00D721A5"/>
    <w:rsid w:val="00D723AF"/>
    <w:rsid w:val="00D72B3E"/>
    <w:rsid w:val="00D74191"/>
    <w:rsid w:val="00D74759"/>
    <w:rsid w:val="00D84C13"/>
    <w:rsid w:val="00D86542"/>
    <w:rsid w:val="00D86613"/>
    <w:rsid w:val="00D90A70"/>
    <w:rsid w:val="00D92200"/>
    <w:rsid w:val="00D933E6"/>
    <w:rsid w:val="00D93CAA"/>
    <w:rsid w:val="00D93CB8"/>
    <w:rsid w:val="00D941A1"/>
    <w:rsid w:val="00DA072C"/>
    <w:rsid w:val="00DA4B3E"/>
    <w:rsid w:val="00DA6D35"/>
    <w:rsid w:val="00DB0C40"/>
    <w:rsid w:val="00DB6182"/>
    <w:rsid w:val="00DB620B"/>
    <w:rsid w:val="00DC01A4"/>
    <w:rsid w:val="00DC1016"/>
    <w:rsid w:val="00DC39C8"/>
    <w:rsid w:val="00DC3F38"/>
    <w:rsid w:val="00DC5EF1"/>
    <w:rsid w:val="00DC67A9"/>
    <w:rsid w:val="00DD09D1"/>
    <w:rsid w:val="00DD0AA5"/>
    <w:rsid w:val="00DD3406"/>
    <w:rsid w:val="00DD4760"/>
    <w:rsid w:val="00DE57AE"/>
    <w:rsid w:val="00DE6235"/>
    <w:rsid w:val="00DF250B"/>
    <w:rsid w:val="00DF26F3"/>
    <w:rsid w:val="00DF6416"/>
    <w:rsid w:val="00DF7049"/>
    <w:rsid w:val="00E0001A"/>
    <w:rsid w:val="00E00153"/>
    <w:rsid w:val="00E018EC"/>
    <w:rsid w:val="00E026B1"/>
    <w:rsid w:val="00E04625"/>
    <w:rsid w:val="00E12B54"/>
    <w:rsid w:val="00E15FE5"/>
    <w:rsid w:val="00E21A43"/>
    <w:rsid w:val="00E24AB9"/>
    <w:rsid w:val="00E25892"/>
    <w:rsid w:val="00E30891"/>
    <w:rsid w:val="00E318A8"/>
    <w:rsid w:val="00E32DF3"/>
    <w:rsid w:val="00E3307D"/>
    <w:rsid w:val="00E3446E"/>
    <w:rsid w:val="00E35064"/>
    <w:rsid w:val="00E449B9"/>
    <w:rsid w:val="00E4656E"/>
    <w:rsid w:val="00E47970"/>
    <w:rsid w:val="00E50777"/>
    <w:rsid w:val="00E50997"/>
    <w:rsid w:val="00E509A1"/>
    <w:rsid w:val="00E530C4"/>
    <w:rsid w:val="00E568BD"/>
    <w:rsid w:val="00E57878"/>
    <w:rsid w:val="00E627DD"/>
    <w:rsid w:val="00E6309D"/>
    <w:rsid w:val="00E64864"/>
    <w:rsid w:val="00E64E15"/>
    <w:rsid w:val="00E67A8F"/>
    <w:rsid w:val="00E70290"/>
    <w:rsid w:val="00E80011"/>
    <w:rsid w:val="00E86C23"/>
    <w:rsid w:val="00E90CCA"/>
    <w:rsid w:val="00E92A83"/>
    <w:rsid w:val="00E942CC"/>
    <w:rsid w:val="00E94E88"/>
    <w:rsid w:val="00E95736"/>
    <w:rsid w:val="00E96191"/>
    <w:rsid w:val="00EA0183"/>
    <w:rsid w:val="00EA1051"/>
    <w:rsid w:val="00EA2540"/>
    <w:rsid w:val="00EA48EC"/>
    <w:rsid w:val="00EB185E"/>
    <w:rsid w:val="00EB273A"/>
    <w:rsid w:val="00EB5907"/>
    <w:rsid w:val="00EB6AE5"/>
    <w:rsid w:val="00EC01F0"/>
    <w:rsid w:val="00EC139A"/>
    <w:rsid w:val="00EC188C"/>
    <w:rsid w:val="00EC2FDA"/>
    <w:rsid w:val="00EC4860"/>
    <w:rsid w:val="00EC6F5B"/>
    <w:rsid w:val="00ED0F2B"/>
    <w:rsid w:val="00ED1837"/>
    <w:rsid w:val="00ED4363"/>
    <w:rsid w:val="00ED4466"/>
    <w:rsid w:val="00ED4CF3"/>
    <w:rsid w:val="00EE16E9"/>
    <w:rsid w:val="00EE579C"/>
    <w:rsid w:val="00EE63FD"/>
    <w:rsid w:val="00EE6928"/>
    <w:rsid w:val="00EE7AFD"/>
    <w:rsid w:val="00EE7B29"/>
    <w:rsid w:val="00EF3F82"/>
    <w:rsid w:val="00EF5412"/>
    <w:rsid w:val="00F0389C"/>
    <w:rsid w:val="00F1010E"/>
    <w:rsid w:val="00F12CEC"/>
    <w:rsid w:val="00F14D81"/>
    <w:rsid w:val="00F17C20"/>
    <w:rsid w:val="00F17F0A"/>
    <w:rsid w:val="00F321D3"/>
    <w:rsid w:val="00F34220"/>
    <w:rsid w:val="00F4150D"/>
    <w:rsid w:val="00F419ED"/>
    <w:rsid w:val="00F438C9"/>
    <w:rsid w:val="00F43FB8"/>
    <w:rsid w:val="00F45CF4"/>
    <w:rsid w:val="00F4681B"/>
    <w:rsid w:val="00F507C6"/>
    <w:rsid w:val="00F508A3"/>
    <w:rsid w:val="00F509C1"/>
    <w:rsid w:val="00F573CE"/>
    <w:rsid w:val="00F60942"/>
    <w:rsid w:val="00F60C03"/>
    <w:rsid w:val="00F60F20"/>
    <w:rsid w:val="00F6119D"/>
    <w:rsid w:val="00F61E4F"/>
    <w:rsid w:val="00F66B4B"/>
    <w:rsid w:val="00F671FC"/>
    <w:rsid w:val="00F72116"/>
    <w:rsid w:val="00F76E98"/>
    <w:rsid w:val="00F80F6B"/>
    <w:rsid w:val="00F813A4"/>
    <w:rsid w:val="00F91710"/>
    <w:rsid w:val="00F938DC"/>
    <w:rsid w:val="00F93C75"/>
    <w:rsid w:val="00F944A8"/>
    <w:rsid w:val="00F9524D"/>
    <w:rsid w:val="00F96656"/>
    <w:rsid w:val="00F96E88"/>
    <w:rsid w:val="00FA3DFE"/>
    <w:rsid w:val="00FA4704"/>
    <w:rsid w:val="00FA569D"/>
    <w:rsid w:val="00FA6D86"/>
    <w:rsid w:val="00FB37B4"/>
    <w:rsid w:val="00FB393F"/>
    <w:rsid w:val="00FB5E31"/>
    <w:rsid w:val="00FB69B4"/>
    <w:rsid w:val="00FB72E4"/>
    <w:rsid w:val="00FC0025"/>
    <w:rsid w:val="00FC09A9"/>
    <w:rsid w:val="00FC1286"/>
    <w:rsid w:val="00FC426D"/>
    <w:rsid w:val="00FC7CBA"/>
    <w:rsid w:val="00FC7FE4"/>
    <w:rsid w:val="00FD2E31"/>
    <w:rsid w:val="00FD36F1"/>
    <w:rsid w:val="00FD59DF"/>
    <w:rsid w:val="00FD74C2"/>
    <w:rsid w:val="00FE0EA1"/>
    <w:rsid w:val="00FE2313"/>
    <w:rsid w:val="00FE45B9"/>
    <w:rsid w:val="00FE53A8"/>
    <w:rsid w:val="00FE7F15"/>
    <w:rsid w:val="00FF0BC6"/>
    <w:rsid w:val="00FF28A1"/>
    <w:rsid w:val="00FF6B97"/>
    <w:rsid w:val="00FF7C77"/>
    <w:rsid w:val="00FF7D41"/>
    <w:rsid w:val="59D9D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DC9E"/>
  <w15:docId w15:val="{C5942625-5211-48AE-843D-85D94BC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1666"/>
    <w:pPr>
      <w:keepNext/>
      <w:jc w:val="left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1666"/>
    <w:rPr>
      <w:rFonts w:ascii="Arial" w:eastAsia="Times New Roman" w:hAnsi="Arial" w:cs="Times New Roman"/>
      <w:b/>
      <w:sz w:val="40"/>
      <w:szCs w:val="20"/>
      <w:lang w:val="en-GB"/>
    </w:rPr>
  </w:style>
  <w:style w:type="paragraph" w:styleId="Header">
    <w:name w:val="header"/>
    <w:basedOn w:val="Normal"/>
    <w:link w:val="HeaderChar"/>
    <w:rsid w:val="00C01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666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01666"/>
    <w:pPr>
      <w:tabs>
        <w:tab w:val="right" w:pos="8930"/>
      </w:tabs>
    </w:pPr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rsid w:val="00C01666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PageNumber">
    <w:name w:val="page number"/>
    <w:basedOn w:val="DefaultParagraphFont"/>
    <w:rsid w:val="00C016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6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E4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8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D2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2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21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30DBA"/>
    <w:pPr>
      <w:spacing w:after="220" w:line="220" w:lineRule="atLeast"/>
    </w:pPr>
    <w:rPr>
      <w:rFonts w:ascii="Verdana" w:hAnsi="Verdana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30DBA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0D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32C"/>
    <w:rPr>
      <w:color w:val="605E5C"/>
      <w:shd w:val="clear" w:color="auto" w:fill="E1DFDD"/>
    </w:rPr>
  </w:style>
  <w:style w:type="paragraph" w:customStyle="1" w:styleId="Default">
    <w:name w:val="Default"/>
    <w:rsid w:val="00BE364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735F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les.ofsted.gov.uk/v1/file/5024057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3aeb4eff-3195-46a2-b25f-20489be45ea2;2023-09-07 13:57:50;PENDINGCLASSIFICATION;False</CSMeta2010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1698CC09EDA4E9E22FD1BD390D96F" ma:contentTypeVersion="0" ma:contentTypeDescription="Create a new document." ma:contentTypeScope="" ma:versionID="39c956a796f99af22aa861fbef6b5b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DF49E75B-A962-4945-8F62-F80BB50D34A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5A701A-FBA6-4A4A-96FB-17E28102E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8B380-AEEC-4656-BCCA-B5640A2B6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01810-FD5C-436F-97D8-C6C0426BF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A9BC17-081A-4B59-BDA3-70163E6D8A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HIS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vasoodavenv</dc:creator>
  <cp:keywords/>
  <dc:description/>
  <cp:lastModifiedBy>Kathryn Kellagher</cp:lastModifiedBy>
  <cp:revision>2</cp:revision>
  <cp:lastPrinted>2024-01-09T10:54:00Z</cp:lastPrinted>
  <dcterms:created xsi:type="dcterms:W3CDTF">2024-03-27T09:34:00Z</dcterms:created>
  <dcterms:modified xsi:type="dcterms:W3CDTF">2024-03-27T09:34:00Z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0x0101007911698CC09EDA4E9E22FD1BD390D96F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